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подготовила электронный каталог практик по содействию развитию конкуренции в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2024,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Сейчас на разработанном службой сайте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Законкуренцию.рф
        </w:t>
        </w:r>
      </w:hyperlink>
      <w:r>
        <w:rPr>
          <w:i/>
        </w:rPr>
        <w:t xml:space="preserve"> уже размещены лучшие региональные меры поддержки за 2021 и 2022 годы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запустила электронную площадку, на которой собрала проконкурентные практики субъектов РФ последних лет.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Поиск систематизирован по регионам, направлениям, уровню, видам поддержки и году внедрения. Выбрав меру поддержки, можно ознакомиться с ее описанием, целями, задачами и итогами. Кроме того, региональную практику можно оценить.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ФАС России ведет активную работу по наполнению сайта. В результате на площадке будут отображены проконкурентные практики, реализованные с 2020 по 2023 и последующие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Благодаря этому электронному ресурсу доступ к информации о действующих региональных мерах, направленных на развитие конкуренции и поддержку бизнеса, станет проще и удобнее.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&#1079;&#1072;&#1082;&#1086;&#1085;&#1082;&#1091;&#1088;&#1077;&#1085;&#1094;&#1080;&#1102;.&#1088;&#1092;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