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регионах в 2023 году реализовано более 600 мер по поддержке предпринимателей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2024,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Они направлены на поддержку бизнеса, повышение инвестиционной привлекательности местных организаций, их финансовой устойчивости, а также на создание комфортных условий для предпринимательской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в 2023 году регионы приняли 664 меры по поддержке малого и среднего бизнеса, в том числе в рамках Национального плана развития конкуренции в РФ на 2021-2025 гг.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установила, что наиболее распространены финансовые меры поддержки МСП. В 47 регионах применяется субсидирование, в 34 субъектах РФ снижена налоговая нагрузка на бизнес, а в 29 регионах предоставляются различные льготы для ведения бизнеса. Например, В Пермском и Алтайском краях установлены пониженные ставки по упрощенной системе налогообложения для впервые зарегистрированных предпринимателей. Это обеспечивает благоприятные условия для старта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Марий Эл региональные власти предоставили 491 поручительство на сумму более 1,5 млрд рублей. Это позволило предпринимателям получить кредиты на сумму 3,9 млрд рублей по обязательствам МСП.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регионы используют инструменты повышения инновационной активности регионов, применяют различные механизмы поддержки импортозамещения, поиска новых поставщиков и рынков сбыта.</w:t>
      </w:r>
      <w:r>
        <w:br/>
      </w:r>
      <w:r>
        <w:t xml:space="preserve">
 </w:t>
      </w:r>
      <w:r>
        <w:br/>
      </w:r>
      <w:r>
        <w:t xml:space="preserve">
В Нижегородской области продолжает свою работу Центр импорта и импортозамещения. Он способствует организации параллельного импорта и подбору аналогов российского производства, локализации производства импортозамещающих видов продукции, расширению кооперационных связей. С помощью параллельного импорта удалось обеспечить материалами и комплектующими 61 предприятие региона.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Магаданской области проводится конкурс научно-исследовательских проектов студентов, аспирантов и молодых ученых «Инновация» для разработки и внедрения современных технологий и стимулирования инновационного развития.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Красноярском крае создан портал поставщиков «Сделано в крае», где сформирована единая база производимой продукции и услуг субъектов MCП, а также самозанятых граждан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поддерживает региональные инициативы по стимулированию предпринимательской активности и уменьшению административных требований в части разрешительных процедур и согласований. Развитый сектор МСП способствует формированию прозрачной конкурентной среды на товарных рынках и росту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