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 правоприменительной практике важно учитывать экстерриториальность нарушений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2024, 16:30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службы Андрей Цыганов выступил в рамках XV Международного экономического форума «Россия – Исламский мир: KazanForum»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ФАС России отмечает рост товарооборота, расширение инвестиционного сотрудничества и переориентацию торгово-экономических отношений России на страны Азии и Африки.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службы отметил, что и российские, и иностранные предприниматели должны соблюдать правила ведения бизнеса в стране пребывания, в частности, речь идет о справедливой и честной конкуренции. ФАС России, как орган, контролирующий соблюдение конкурентного законодательства, рассматривает эту работу не только с точки зрения контрольно-надзорных функций, но и как элемент защиты бизнеса от недобросовестных участников рынка. Поддержание благоприятного предпринимательского климата – одна из приоритетных задач службы.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 о защите конкуренции носит экстерриториальный характер. ФАС России рассматривает обращения от граждан и юридических лиц и возбуждает дела о нарушении антимонопольного законодательства, руководствуясь принципом конкурентной нейтральности. Таким образом, субъектами, в отношении которых рассматриваются антимонопольные дела, могут стать как российские, так и иностранные компании. Это также касается и организаций, зарегистрированных на территории других стран, но осуществляющих свою деятельность на территории России. В этой связи экстерриториальность – важный элемент правоприменительной практики российского антимонопольного законодательства.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отметил, что правила антимонопольного регулирования находятся в процессе постоянного совершенствования. С этой целью был принят «пятый антимонопольный пакет», совершенствующий антимонопольное законодательство в части регулирования цифровых рынков. Служба на регулярной основе проводит общественные обсуждения нововведений в правоприменительной практике в рамках Экспертных и Общественных советов. Так, ФАС России стремится найти баланс интересов всех участников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2023 году ФАС России возбудила 1482 дела о нарушении антимонопольного законодательства, приняла решение по 1071 делу и выдала 1966 предупреждений. Антимонопольная служба также получила 992 ходатайства и 156 уведомлений по сделкам экономической концентрации.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