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дорожный картель на 1,6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нарушения обнаружены на торгах в рамках реализации национального проекта «Безопасные качественные дороги»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возбудило дело о нарушении антимонопольного законодательства* в отношении ООО «СтройКапиталлГрупп» и ООО «ПромПесок».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подозревает организации в сговоре с целью поддержания цен при участии в открытых конкурсах. Компании заключили контракты на работы по подготовке проектной документации, инженерные изыскания и работы по капитальному ремонту автомобильных дорог. Торги проводились на территории Рязанской области в рамках реализации национального проекта «Безопасные качественные дороги».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Сумма начальных цен торгов с признаками картеля составляет 1 600 376 153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организациям грозят оборотные штрафы**.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 признакам нарушения п. 2 ч. 1 ст. 11 Федерального закона от 26.07.2006 № 135-ФЗ «О защите конкуренции».</w:t>
      </w:r>
      <w:r>
        <w:br/>
      </w:r>
      <w:r>
        <w:t xml:space="preserve">
**Ст. 14.32 Кодекса Российской Федерации об административных правонарушениях.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