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представила ключевые тенденции в сфере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2024,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службы сообщили актуальную информацию в рамках «Антимонопольного форума 2024»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выступил в качестве модератора сессии «Иностранные инвестиции в период глобальной трансформации». Участники обсудили принятые меры по совершенствованию законодательства об иностранных инвестициях, а также практический опыт и приемы уполномоченных органов различных стран в части регулирования вложения иностранных инвестиций.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службы также подробно рассказал участникам о принципиальных подходах, которое выработало ведомство в части регулирования Закона об иностранных инвестициях. Так, в ходе судебной практики служба доказала, что в случаях установления незаконного иностранного контроля над российским стратегическим обществом совершенные сделки могут признаваться ничтожными.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Андрей Цыганов обратил внимание на применяемый ФАС России метод выявления установления контроля иностранного инвестора над стратегическим хозяйственным обществом по совокупности косвенных доказательств, эффективность которого была подтверждена судебными решениями.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отметил, что ужесточение законодательства об иностранных инвестициях и расширение сферы его применения характерно для большинства экономически развитых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Статс-секретарь-заместитель руководителя ФАС России Сергей Пузыревский в рамках сессии «Национальные ценовые индикаторы» подчеркнул, что развитие национальных биржевых индикаторов повышает экономический суверенитет нашей страны обеспечивая рыночные ориентиры ценообразования на рынках с ограниченной конкуренций. По мнению представителя ведомства, именно рыночные индикаторы должны иметь приоритет при оценке экономической обоснованности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том, какие права, обязанности и возможности предоставляют биржевые и внебиржевые индикаторы участникам рынков в контексте антимонопольного регулирования, рассказала начальник Управления регулирования ТЭК и химической промышленности Елена Цышевская на фокус сессии «Национальные ценовые индикаторы».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подчеркнула, что ценовые индикаторы служат ориентиром и для участников рынка, и для ФАС России. Служба использует такие данные при анализе действий компаний на предмет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ФАС России Елена Заева в ходе сессии «Онлайн оффлайн ритейл в фокусе ФАС» уделила внимание признакам разделения процесса онлайн-торговли и маркетплейсов. Так, деятельность маркетплейсов основывается на допуске к платформе других продавцов, где они сами реализуют собственную продукцию. Кроме того, на онлайн-площадках введены поисковые алгоритмы и отзывы потребителей. Елена Заева также подчеркнула, что рынок маркеплейсов является многосторонним, на нем также присутствует «сетевой эффект», что позволяет ему расти и развиваться быстрыми темпами.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Заева подчеркнула, что ФАС России стремится обеспечить баланс интересов всех участников рынка и его дальнейшее развитие. Сейчас служба прорабатывает системные меры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сессии «Онлайн и оффлайн ритейл в фокусе ФАС» начальник Управления контроля социальной сферы, торговли и непроизводственных услуг Надежда Шаравская рассказала об основных направлениях антимонопольного контроля в оффлайн ритейле. Так, в 2023 и 2024 годах служба возбудила 21 дело о нарушении Закона «О защите конкуренции», приняла 13 решений, выдала 16 предупреждений и 68 предостережений. По итогам рассмотрения сделок об экономической концентрации ведомство отмечает, что в настоящее время активность рынка снижается по сравнению с 2022-2023 гг.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Надежда Шаравская подчеркнула, что развитие маркетплейсов и электронных витрин, а также слияние онлайн-ритейла и «традиционных» форматов розничной торговли стали главными трендами последних лет. ФАС России считает, что в настоящий момент маркетплейсы подпадают под требования Закона о торговле в тех случаях, когда маркетплейс и оффлайн-торговля входят в одну группу лиц* или когда маркетплейс осуществляет продажу продовольственных товаров под собственным брендом**.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рекламы и недобросовестной конкуренции Татьяна Никитина в рамках сессии «Закон о рекламе: менять нельзя оставить» напомнила участникам форума 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деле Райффайзенбанка
        </w:t>
        </w:r>
      </w:hyperlink>
      <w:r>
        <w:t xml:space="preserve">. Она сообщила, что служба планирует чаще обращаться в суд в целях назначения контррекламы как меры ответственности для недобросовестных рекламодателей. По мнению ведомства, это будет способствовать снижению количества нарушений законодательства в части недостоверной рекламы, а также рекламы, вводящей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сессии «Обеспечение конкуренции при реализации инфраструктурных проектов и предоставлении государственного имущества» выступила заместитель начальника Управления по борьбе с картелями Клара Батанова. Она рассказала о рисках нарушения антимонопольного законодательства при заключении соглашения о государственно-частном партнёрстве, а так же при заключении концессионного соглашения по возведению и модернизации различных объектов инфраструктуры.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обеспечение конкуренции является одним из ключевых принципов определенных законом о ГЧП, несоблюдение которого может привести к нарушению прав добросовестных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*9,13 и 14 статьи Закона «О торговле».</w:t>
      </w:r>
      <w:r>
        <w:br/>
      </w:r>
      <w:r>
        <w:rPr>
          <w:i/>
        </w:rPr>
        <w:t xml:space="preserve">
**9 статья Закона «О торговле».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[photo_1868]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31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