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о недопустимости внесения изменений в протокол закупки после его публикации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2024,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без наличия правовых оснований изменил итоговый протокол, из-за чего заявка участника не была оценена должным образом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службу поступила жалоба на действия заказчика при проведении закрытого конкурса на поставку оборудования автоматического управления дизель-генераторными установками с выполнением шеф-монтажных работ. По мнению заявителя, заказчик ненадлежащим образом оценил заявку по критерию «Наличие действующей системы менеджмента качества, подтвержденной сертификатом соответствия Системы сертификации РОСАТОМРЕГИСТР».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договор с победителем конкурса был заключен с нарушением установленных законодательством сроков.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доводы заявителя обоснованными, а действия заказчика нарушающими Закон о закупках*. Заказчик обжаловал решение службы в судебном порядке, однако Арбитражный суд города Москвы поддержал позицию ФАС России**.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**Пункт 2 части 1 статьи 3; часть 6 статьи 3; часть 15 статьи 3.2; пункты 13, 14 части 10 статьи 4 Федерального закона от 18.07.2011 № 223-ФЗ «О закупках товаров, работ, услуг отдельными видами юридических лиц».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**Решение Арбитражного суда города Москвы по делу № А40-43770/24.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