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Банк ВТБ исполнил предупреждение ФАС, открыв отдельный счет исполнителю по гособоронзаказу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2016, 12:27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Банк ВТБ (ПАО) заключил договор о банковском сопровождении с ООО «Владимирский текстиль», тем самым исполнив предупреждение Федеральной антимонопольной службы (ФАС России), и прекратил нарушение законодательства о государственном оборонном заказе.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ранее компания «Владимирский текстиль» обратилась в ФАС с заявлением по вопросу отказа Банка ВТБ в заключении с ними договора о банковском сопровождении и открытии отдельного банковского счета для расчетов по гособоронзаказу.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Законом о государственном оборонном заказе (№ 275-ФЗ) организация, исполняющая задания ГОЗ, обязана заключить с уполномоченным банком, выбранным головным исполнителем, договор о банковском сопровождении. В свою очередь банк обязан заключить с головным исполнителем, исполнителем договор о банковском сопровождении и открыть им отдельные счета.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нарушение этих требований Банк ВТБ отказал в открытии отдельного счета для ООО «Владимирский текстиль».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банк неправомерно отказал компании в заключении договора о банковском сопровождении, что содержало признаки нарушения законодательства в сфере ГОЗ, а также пункта 5 части 1 статьи 10 Закона о защите конкуренции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обстоятельства явились основанием для выдачи предупреждения Банку ВТБ о необходимости устранения причин и условий, способствовавших возникновению такого нарушения, и о принятии мер по устранению их последствий путем заключения договора о банковском сопровождении с ООО «Владимирский текстиль»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 «Действующее законодательство возлагает на банки обязанность по своевременному и беспрепятственному открытию отдельных счетов исполнителям гособоронзаказа. Ее неисполнение может негативно сказаться на сроках исполнение гособоронзаказа и является нарушением»</w:t>
      </w:r>
      <w:r>
        <w:t xml:space="preserve">, – подчеркнул заместитель начальника Управления контроля авиационной, ракетно-космической и атомной промышленности ФАС России Филипп Чирков.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r xmlns:w="http://schemas.openxmlformats.org/wordprocessingml/2006/main">
      <w:t xml:space="preserve">1</w:t>
    </w:r>
    <w:r xmlns:w="http://schemas.openxmlformats.org/wordprocessingml/2006/main">
      <w:t xml:space="preserve">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экономически или технологически не обоснованные отказ либо уклонение от заключения договора с отдельными покупателями (заказчиками) в случае наличия возможности производства или поставок соответствующего товара.</w:t>
    </w:r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