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ФАС, ФНС и Центральный Банк подписали соглашение о Биржевом комитете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декабря 2015, 12:31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России), Федеральная налоговая служба (ФНС России) и Центральный Банк (ЦБ РФ) подписали соглашение о сотрудничестве по развитию товарных рынков (Биржевой комитет).</w:t>
      </w:r>
      <w:r>
        <w:br/>
      </w:r>
      <w:r>
        <w:t xml:space="preserve">
Соглашение подписано во исполнение поручения Президента Российской Федерации Владимира Путина.</w:t>
      </w:r>
      <w:r>
        <w:br/>
      </w:r>
      <w:r>
        <w:t xml:space="preserve">
Основной целью заключения и подписания соглашения является совершенствование механизмов формирования репрезентативных ценовых индексов и (или) индикаторов на товарных рынках по результатам мониторинга уровня и обоснованности цен на товары, допущенные к организованным торгам, а также выработка предложений по развитию товарных рынков.</w:t>
      </w:r>
      <w:r>
        <w:br/>
      </w:r>
      <w:r>
        <w:t xml:space="preserve">
К приоритетным задачам Биржевого комитета относится развитие коммерческой инфраструктуры, формирование рыночных индикаторов и цен, а также развитие биржевой торговли нефтью, нефтепродуктами, сжиженным углеводородным газом и природным газом.</w:t>
      </w:r>
      <w:r>
        <w:br/>
      </w:r>
      <w:r>
        <w:t xml:space="preserve">
Напомним, с января 2015 года по инициативе ФАС России на постоянной основе проводились совещания по формату Биржевого комитета с представителями крупных нефтяных компаний и биржевых торговых площадок, независимыми участниками рынка нефтепродуктов, исполнительными органами власти Российской Федерации и экспертными организациями.</w:t>
      </w:r>
      <w:r>
        <w:br/>
      </w:r>
      <w:r>
        <w:t xml:space="preserve">
На заседаниях анализировалась текущая ситуация на рынке нефти и нефтепродуктов, предпринимались меры по развитию и совершенствованию биржевой торговли нефти и нефтепродуктов, а также формировались рекомендации участникам рынка, направленные на недопущение возможных нарушений антимонопольного законодательства. На сегодняшний день проведено более 30 заседаний.</w:t>
      </w:r>
      <w:r>
        <w:br/>
      </w:r>
      <w:r>
        <w:t xml:space="preserve">
По результатам подписания соглашения взаимодействие ФАС России, ФНС России и ЦБ РФ, в пределах их компетенции, направлено на решение следующих задач:</w:t>
      </w:r>
      <w:r>
        <w:br/>
      </w:r>
      <w:r>
        <w:t xml:space="preserve">
1. Развитие конкурентоспособных и конкурентных рынков товаров, допущенных к организованным торгам (организованные товарные рынки).</w:t>
      </w:r>
      <w:r>
        <w:br/>
      </w:r>
      <w:r>
        <w:t xml:space="preserve">
2. Создание инфраструктурных предпосылок для формирования репрезентативных ценовых индексов и (или) индикаторов на организованных товарных рынках, в том числе приведение к сопоставимому уровню биржевых и внебиржевых ценовых индексов и (или) индикаторов, а также создание возможностей их использования для целей налогообложения.</w:t>
      </w:r>
      <w:r>
        <w:br/>
      </w:r>
      <w:r>
        <w:t xml:space="preserve">
3. Разработка предложений, направленных на повышение прозрачности внебиржевых товарных рынков.</w:t>
      </w:r>
      <w:r>
        <w:br/>
      </w:r>
      <w:r>
        <w:t xml:space="preserve">
4. Разработка предложений по совершенствованию механизмов организации торгов на товарном рынке.</w:t>
      </w:r>
      <w:r>
        <w:br/>
      </w:r>
      <w:r>
        <w:t xml:space="preserve">
5. Разработка предложений, направленных на выработку единообразных подходов к ценообразованию для целей регулирования в соответствии с компетенциями сторон.</w:t>
      </w:r>
      <w:r>
        <w:br/>
      </w:r>
      <w:r>
        <w:t xml:space="preserve">
6. Разработка рекомендаций по хеджированию (снижению) рисков, связанных с реализацией товаров на организованных товарных рынках.</w:t>
      </w:r>
      <w:r>
        <w:br/>
      </w:r>
      <w:r>
        <w:t xml:space="preserve">
7. Разработка предложений, направленных на обеспечение исполнения обязательств участниками торгов на организованных товарных рынках.</w:t>
      </w:r>
      <w:r>
        <w:br/>
      </w:r>
      <w:r>
        <w:t xml:space="preserve">
8. Подготовка предложений по механизму проведения и совершенствованию государственных закупочных и товарных интервенций на организованных товарных рынках.</w:t>
      </w:r>
      <w:r>
        <w:br/>
      </w:r>
      <w:r>
        <w:t xml:space="preserve">
9. Обсуждение законотворческих и иных инициатив по совершенствованию законодательства Российской Федерации для достижения целей и задач соглашения.</w:t>
      </w:r>
      <w:r>
        <w:br/>
      </w:r>
      <w:r>
        <w:t xml:space="preserve">
10. Иные задачи, направленные на достижение целей, определенных соглашением.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текстом соглашения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spheres/exchangecommittee/statute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