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Information about a petition of a commercial company “PROFESSIONAL PLUS” Ltd.</w:t>
      </w:r>
    </w:p>
    <w:p xmlns:w="http://schemas.openxmlformats.org/wordprocessingml/2006/main" xmlns:pkg="http://schemas.microsoft.com/office/2006/xmlPackage" xmlns:str="http://exslt.org/strings" xmlns:fn="http://www.w3.org/2005/xpath-functions">
      <w:r>
        <w:t xml:space="preserve">27 августа 2010, 13:37</w:t>
      </w:r>
    </w:p>
    <w:p xmlns:w="http://schemas.openxmlformats.org/wordprocessingml/2006/main" xmlns:pkg="http://schemas.microsoft.com/office/2006/xmlPackage" xmlns:str="http://exslt.org/strings" xmlns:fn="http://www.w3.org/2005/xpath-functions">
      <w:r>
        <w:t xml:space="preserve">The Federal Antimonopoly Service received a petition of “PROFESSIONAL PLUS” Ltd. (Registration No. 34910 of 27th July 2010).</w:t>
      </w:r>
    </w:p>
    <w:p xmlns:w="http://schemas.openxmlformats.org/wordprocessingml/2006/main" xmlns:pkg="http://schemas.microsoft.com/office/2006/xmlPackage" xmlns:str="http://exslt.org/strings" xmlns:fn="http://www.w3.org/2005/xpath-functions">
      <w:r>
        <w:t xml:space="preserve">The subject of transaction is acquiring 50% shares of “GT-TETs Energo” (location: 12, Krasnopresnenskaya Naberezhnaya, Moscow, Russian Federation, 123610; main activities – generation and distribution of electric and heat energy by operating small gas-turbine central heating-and-power plants, developed under an innovative project of the “Energomash” group of companies) by “PROFESSIONAL PLUS” Ltd. (location: Geneva Place, Waterfront Drive, P.O. Box 3469, Road Town, Tortola, British Virgin Islands).</w:t>
      </w:r>
    </w:p>
    <w:p xmlns:w="http://schemas.openxmlformats.org/wordprocessingml/2006/main" xmlns:pkg="http://schemas.microsoft.com/office/2006/xmlPackage" xmlns:str="http://exslt.org/strings" xmlns:fn="http://www.w3.org/2005/xpath-functions">
      <w:r>
        <w:t xml:space="preserve">In order to further consider the partition and obtain additional information и, and governed by Clause 2 Part 2 and Part 3 Article 33 of No.135-FZ Federal Law “On Protection of Competition” of 26th July 2006, FAS Russia has extended the period for petition consideration by two months, because FAS has established that the transaction can lead to restricting competition.</w:t>
      </w:r>
    </w:p>
    <w:p xmlns:w="http://schemas.openxmlformats.org/wordprocessingml/2006/main" xmlns:pkg="http://schemas.microsoft.com/office/2006/xmlPackage" xmlns:str="http://exslt.org/strings" xmlns:fn="http://www.w3.org/2005/xpath-functions">
      <w:r>
        <w:t xml:space="preserve">Interested persons can submit to FAS Russia information about possible effect of the transaction upon the state of competition.</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