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по признакам нарушения Закона о защите конкуренции в отношении Минобороны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2015, 14:28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послужило заявление ЦО СДС «Военный регистр» по вопросу правомерности установления ограничений по выбору системы добровольной сертификации для подтверждения соответствия системы менеджмента качества.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выявила, что Минобороны России устанавливает для предприятий требования о выборе поставщиков продукции, прошедших сертификацию исключительно в Системе добровольной сертификации «Электронсерт» (ранее СДС «Военэлектронсерт»), созданной при участии Минобороны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Минобороны России приводят к тому, что системы добровольной сертификации поставлены в неравное положение при выдаче подобных сертификатов.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действия Минобороны России содержат признаки нарушения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«Нормы Закона о защите конкуренции запрещают принимать федеральным органам исполнительной власти акты, которые приводят или могут привести к недопущению, ограничению, устранению конкуренции»</w:t>
      </w:r>
      <w:r>
        <w:t xml:space="preserve">, – подчеркнул начальник Управления контроля авиационной, ракетно-космической и атомной промышленности ФАС России Дмитрий Брыкин.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