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поддержал ФАС в споре с ОАО «Муромтепловоз»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сентября 2015, 14:23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отказал в удовлетворении исковых требований ОАО «Муромтепловоз» о взыскании с Федеральной антимонопольной службы (ФАС России) убытков в сумме свыше 216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феврале 2009 года эта компания заключила государственный контракт с Министерством обороны Российской Федерации. Однако в связи с нарушением сроков поставок, установленных контрактом, Минобороны обратилось в Арбитражный суд города Москвы с требованием о его расторжении.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Суды первой и апелляционной инстанций сочли нарушения, допущенные ОАО «Муромтепловоз», существенными, что послужило основанием для расторжения контракта и включения информации об организации в реестр недобросовестных поставщиков (РНП). Суд кассационной инстанции оставил решения судов первой и апелляционной инстанций без изменения.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 Высший Арбитражный Суд Российской Федерации отменил решения судов трех инстанций и направил дело на новое рассмотрение. Это послужило основанием для обращения ОАО «Муромтепловоз» в Рособоронзаказ</w:t>
      </w:r>
      <w:r>
        <w:t xml:space="preserve">1</w:t>
      </w:r>
      <w:r>
        <w:t xml:space="preserve"> с требованием об исключении информации о компании из РНП. Ведомство исключило предприятие из РНП после вынесения постановления суда апелляционной инстанции.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ОАО «Муромтепловоз» сочло незаконным свое нахождение в РНП, исключение из него информации о компании после вступления в силу решения суда первой инстанции несвоевременным и обратилось в Арбитражный суд города Москвы с требованием взыскать с ФАС России (как правопреемника Рособоронзаказа) убытков в размере 216 426 240 рублей. По мнению общества, нахождение сведений о нем в РНП не позволило предприятию принимать участие в закупках и, в частности, заключить в 2011-2012 гг. ряд государственных контрактов на капитальный ремонт бронетехники.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смогла доказать несостоятельность доводов ОАО «Муромтепловоз». Арбитражный суд города Москвы отказал в удовлетворении требований 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  <w:r>
        <w:t xml:space="preserve">Согласно постановлению Правительства Российской Федерации №1489 от 25 декабря 2014 года функции Федеральной службы по оборонному заказу (Рособоронзаказ) по контролю в сфере государственного оборонного заказа переданы ФАС России. Постановление вступило в силу 1 января 2015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передаче функций была сохранена полная преемственность полномочий Рособоронзаказа, в том числе в области наработанной судебной практики.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