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в удовлетворении заявления ОАО «Восход – Калужский радиоламповый завод» о признании незаконными действий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рамках проведения проверки соблюдения антимонопольного законодательства ФАС России направила в адрес ОАО «Восход – Калужский радиоламповый завод» требование о предоставлении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пыталось оспорить это требование в Арбитражном суде города Москвы. Однако суд, выслушав доводы обеих сторон, признал действия ФАС России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«Казань Шина» безуспешно оспорило действия Рособоронзаказа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Рособоронзаказ поступило обращение от Федерального казённого учреждения «ЦХиСО МВД по Республике Башкортостан» о включении информации об ООО «Казань Шина» в реестр недобросовестных поставщиков (РНП) при проведении электронного аукциона на право заключения государственного контракта на поставку летних автомобильных шин для автотранспорта МВД по Республике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Рособоронзаказа приняла решение включить сведения об ООО «Казань Шина» в РНП.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решила оспорить его в судебном порядке. Однако Арбитражный суд города Москвы и Девятый арбитражный апелляционный суд признал действия Рособоронзаказа правомерными.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отказал в удовлетворении требований ГУ МВД России по Кемеровской области, признав действия Рособоронзаказа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Рособоронзаказ поступила жалоба от ООО ПФ «ЗСК Проект» на действия заказчика – ГУ МВД России по Кемеровской области – при проведении электронного аукциона на выполнение проектно-изыскательских работ. Суть претензии – отказ заказчика в принятии банковской гарантии.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Рособоронзаказа признала жалобу обоснованной и предписала заказчику отменить протокол отказа в принятии банковской гарантии и вернуть осуществление закупки на стадию подписания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 МВД России по Кемеровской области безуспешно оспорило действия Рособоронзаказа в Арбитражном суде г. Москвы, Девятом арбитражном апелляционном суде, а также в Арбитражном суде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