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смартфона MegaFon Login+ недобросовестна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2015,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Комиссия ФАС России признала рекламу смартфона MegaFon Login+ недобросовестной, поскольку наиболее привлекательное условие - цена смартфона – выполнено хорошо читаемым шрифтом и сопровождается звуковым сообщением, а существенная информация в дисклеймерах об условиях его приобретения  выполнена мелким нечитаемым шрифтом. Такая реклама не  позволяет потребителю воспринимать поясняющую рекламное заявление информацию, соответственно потребители фактически не получили предусмотренную законом информацию.</w:t>
      </w:r>
      <w:r>
        <w:br/>
      </w:r>
      <w:r>
        <w:t xml:space="preserve">
Размещение привлекательной для потребителя информации крупным шрифтом, а менее привлекательной, но существенной информации – способом, затрудняющим её восприятие, свидетельствует о недобросовестности рекламы, так как противоречит требованиям части 7 статьи 5 Федерального закона «О рекламе». </w:t>
      </w:r>
      <w:r>
        <w:br/>
      </w:r>
      <w:r>
        <w:t xml:space="preserve">
С претензией к рекламе ПАО «Мегафон» смартфона MegaFon Login+, распространяемой весной  2015 года в эфире федеральных телеканалов в ФАС России обратилось ЗАО «Сибинтертелеком». </w:t>
      </w:r>
      <w:r>
        <w:br/>
      </w:r>
      <w:r>
        <w:t xml:space="preserve">
По факту нарушения выдано предписание о прекращении распространения ненадлежащей рекламы смартфона и  в отношении ПАО «Мегафон» готовятся материалы для возбуждения дела об административном правонарушении для определения размера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То обстоятельство, что нормами Федерального закона «О рекламе» не установлен размер шрифта, которым должна быть приведена существенная информация, не свидетельствует о том, что размер шрифта может быть любым, поскольку, как следует из положений статьи 5 Федерального закона «О рекламе», реклама должна быть добросовестной и достоверной и не должна вводить в заблуждение потребителей.</w:t>
      </w:r>
      <w:r>
        <w:br/>
      </w:r>
      <w:r>
        <w:t xml:space="preserve">
В соответствии с частью 6 статьи 38 Федерального закона «О рекламе» рекламодатель несет ответственность за нарушение требований части 7 статьи 5 Федерального закона «О рекламе».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