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Письмо ФАС России о проведении внеплановых проверок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2015, 09:26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сентября 2015 года Верховный Суд Российской Федерации отказал ЗАО «Аргус-Спектр» в удовлетворении заявленных требований и признал действующим письмо Федеральной антимонопольной службы (ФАС России), адресованное в территориальные органы ФАС России. </w:t>
      </w:r>
      <w:r>
        <w:br/>
      </w:r>
      <w:r>
        <w:t xml:space="preserve">
В 2010 году ФАС России подготовила письмо с разъяснениями, касающимися проведения внеплановых проверок по статье 11 Закона о защите конкуренции. Стоит отметить, что письмо было подготовлено в связи с представлением Генеральной прокуратуры Российской Федерации. </w:t>
      </w:r>
      <w:r>
        <w:br/>
      </w:r>
      <w:r>
        <w:t xml:space="preserve">
«Своим решением Верховный Суд РФ подтвердил, что антимонопольный орган действовал в рамках своих полномочий и в полном соответствии с положениями Закона о защите конкуренции», - отметила заместитель начальника Правового управления ФАС России Лариса Вовкивская.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