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Расчет налога на добычу полезных ископаемых (газа горючего)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2020, 15:38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Об определении показателя (Тр), рассчитываемого в соответствии с пунктом 14 статьи 342.4. главы 26 части второй Налогового кодекса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Значение показателя (Тр) с 1 января 2016 года принимается равным 0 (нулю). Значение показателя (Тр) с 1 января 2017 года принимается равным 0 (нулю). Значение показателя (Тр) с 1 января 2018 года принимается равным 0 (нулю). Значение показателя (Тр) с 1 января 2019 года принимается равным 0 (нулю). Значение показателя (Тр) с 1 января 2020 года принимается равным 0 (нулю). Значение показателя (Тр) с 1 января 2021 года принимается равным 0 (нулю). Значение показателя (Тр) с 1 января 2022 года принимается равным 0 (нулю).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Расчетная цена реализации газа за пределы территорий государств – участников Содружества Независимых Государств (Цдз), определенная в порядке, установленном </w:t>
      </w:r>
      <w:r>
        <w:t xml:space="preserve">постановлением Правительства Российской Федерации от 10 февраля 2015 г. № 107</w:t>
      </w:r>
      <w:r>
        <w:t xml:space="preserve">, за налоговый период</w:t>
      </w:r>
      <w:r>
        <w:rPr>
          <w:b/>
        </w:rPr>
        <w:t xml:space="preserve"> июль </w:t>
      </w:r>
      <w:r>
        <w:rPr>
          <w:b/>
        </w:rPr>
        <w:t xml:space="preserve">2022 года </w:t>
      </w:r>
      <w:r>
        <w:t xml:space="preserve">составляет </w:t>
      </w:r>
      <w:r>
        <w:rPr>
          <w:b/>
        </w:rPr>
        <w:t xml:space="preserve">20 913</w:t>
      </w:r>
      <w:r>
        <w:t xml:space="preserve">руб. 1000 куб. м газа (без НДС).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информацией о расчетной цене за 2015-2022 гг. можно ознакомиться ниже: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Налоговый период</w:t>
            </w:r>
          </w:p>
        </w:tc>
        <w:tc>
          <w:tcPr/>
          <w:p>
            <w:r>
              <w:rPr>
                <w:b/>
              </w:rPr>
              <w:t xml:space="preserve">2015 г.</w:t>
            </w:r>
          </w:p>
        </w:tc>
        <w:tc>
          <w:tcPr/>
          <w:p>
            <w:r>
              <w:rPr>
                <w:b/>
              </w:rPr>
              <w:t xml:space="preserve">2016 г.</w:t>
            </w:r>
          </w:p>
        </w:tc>
        <w:tc>
          <w:tcPr/>
          <w:p>
            <w:r>
              <w:rPr>
                <w:b/>
              </w:rPr>
              <w:t xml:space="preserve">2017 г.</w:t>
            </w:r>
          </w:p>
        </w:tc>
        <w:tc>
          <w:tcPr/>
          <w:p>
            <w:r>
              <w:rPr>
                <w:b/>
              </w:rPr>
              <w:t xml:space="preserve">2018 г.</w:t>
            </w:r>
          </w:p>
        </w:tc>
        <w:tc>
          <w:tcPr/>
          <w:p>
            <w:r>
              <w:rPr>
                <w:b/>
              </w:rPr>
              <w:t xml:space="preserve">2019 г.</w:t>
            </w:r>
          </w:p>
        </w:tc>
        <w:tc>
          <w:tcPr/>
          <w:p>
            <w:r>
              <w:rPr>
                <w:b/>
              </w:rPr>
              <w:t xml:space="preserve">2020 г.</w:t>
            </w:r>
          </w:p>
        </w:tc>
        <w:tc>
          <w:tcPr/>
          <w:p>
            <w:r>
              <w:rPr>
                <w:b/>
              </w:rPr>
              <w:t xml:space="preserve">2021 г.</w:t>
            </w:r>
          </w:p>
        </w:tc>
        <w:tc>
          <w:tcPr/>
          <w:p>
            <w:r>
              <w:rPr>
                <w:b/>
              </w:rPr>
              <w:t xml:space="preserve">2022 г.</w:t>
            </w:r>
          </w:p>
        </w:tc>
      </w:tr>
      <w:tr>
        <w:tc>
          <w:tcPr/>
          <w:p>
            <w:r>
              <w:t xml:space="preserve">январь</w:t>
            </w:r>
          </w:p>
        </w:tc>
        <w:tc>
          <w:tcPr/>
          <w:p>
            <w:r>
              <w:t xml:space="preserve">18 490,71</w:t>
            </w:r>
          </w:p>
        </w:tc>
        <w:tc>
          <w:tcPr/>
          <w:p>
            <w:r>
              <w:t xml:space="preserve">12 656</w:t>
            </w:r>
          </w:p>
        </w:tc>
        <w:tc>
          <w:tcPr/>
          <w:p>
            <w:r>
              <w:t xml:space="preserve">10 060</w:t>
            </w:r>
          </w:p>
        </w:tc>
        <w:tc>
          <w:tcPr/>
          <w:p>
            <w:pPr>
              <w:jc w:val="center"/>
            </w:pPr>
            <w:r>
              <w:t xml:space="preserve">11 407</w:t>
            </w:r>
          </w:p>
        </w:tc>
        <w:tc>
          <w:tcPr/>
          <w:p>
            <w:r>
              <w:t xml:space="preserve">17 301</w:t>
            </w:r>
          </w:p>
        </w:tc>
        <w:tc>
          <w:tcPr/>
          <w:p>
            <w:r>
              <w:t xml:space="preserve">14 792</w:t>
            </w:r>
          </w:p>
        </w:tc>
        <w:tc>
          <w:tcPr/>
          <w:p>
            <w:r>
              <w:t xml:space="preserve">10 245</w:t>
            </w:r>
          </w:p>
        </w:tc>
        <w:tc>
          <w:tcPr/>
          <w:p>
            <w:pPr>
              <w:jc w:val="center"/>
            </w:pPr>
            <w:r>
              <w:t xml:space="preserve">18 983</w:t>
            </w:r>
          </w:p>
        </w:tc>
      </w:tr>
      <w:tr>
        <w:tc>
          <w:tcPr/>
          <w:p>
            <w:r>
              <w:t xml:space="preserve">февраль</w:t>
            </w:r>
          </w:p>
        </w:tc>
        <w:tc>
          <w:tcPr/>
          <w:p>
            <w:r>
              <w:t xml:space="preserve">19 772</w:t>
            </w:r>
          </w:p>
        </w:tc>
        <w:tc>
          <w:tcPr/>
          <w:p>
            <w:r>
              <w:t xml:space="preserve">13 077</w:t>
            </w:r>
          </w:p>
        </w:tc>
        <w:tc>
          <w:tcPr/>
          <w:p>
            <w:r>
              <w:t xml:space="preserve">10 107</w:t>
            </w:r>
          </w:p>
        </w:tc>
        <w:tc>
          <w:tcPr/>
          <w:p>
            <w:r>
              <w:t xml:space="preserve">11 350</w:t>
            </w:r>
          </w:p>
        </w:tc>
        <w:tc>
          <w:tcPr/>
          <w:p>
            <w:r>
              <w:t xml:space="preserve">16 966</w:t>
            </w:r>
          </w:p>
        </w:tc>
        <w:tc>
          <w:tcPr/>
          <w:p>
            <w:r>
              <w:t xml:space="preserve">14 436</w:t>
            </w:r>
          </w:p>
        </w:tc>
        <w:tc>
          <w:tcPr/>
          <w:p>
            <w:r>
              <w:t xml:space="preserve">11 097</w:t>
            </w:r>
          </w:p>
        </w:tc>
        <w:tc>
          <w:tcPr/>
          <w:p>
            <w:r>
              <w:t xml:space="preserve">19 419</w:t>
            </w:r>
          </w:p>
        </w:tc>
      </w:tr>
      <w:tr>
        <w:tc>
          <w:tcPr/>
          <w:p>
            <w:r>
              <w:t xml:space="preserve">март</w:t>
            </w:r>
          </w:p>
        </w:tc>
        <w:tc>
          <w:tcPr/>
          <w:p>
            <w:r>
              <w:t xml:space="preserve">18 909</w:t>
            </w:r>
          </w:p>
        </w:tc>
        <w:tc>
          <w:tcPr/>
          <w:p>
            <w:r>
              <w:t xml:space="preserve">12 017</w:t>
            </w:r>
          </w:p>
        </w:tc>
        <w:tc>
          <w:tcPr/>
          <w:p>
            <w:r>
              <w:t xml:space="preserve">10 125</w:t>
            </w:r>
          </w:p>
        </w:tc>
        <w:tc>
          <w:tcPr/>
          <w:p>
            <w:r>
              <w:t xml:space="preserve">11 662</w:t>
            </w:r>
          </w:p>
        </w:tc>
        <w:tc>
          <w:tcPr/>
          <w:p>
            <w:r>
              <w:t xml:space="preserve">16 552</w:t>
            </w:r>
          </w:p>
        </w:tc>
        <w:tc>
          <w:tcPr/>
          <w:p>
            <w:r>
              <w:t xml:space="preserve">14 592</w:t>
            </w:r>
          </w:p>
        </w:tc>
        <w:tc>
          <w:tcPr/>
          <w:p>
            <w:r>
              <w:t xml:space="preserve">12 093</w:t>
            </w:r>
          </w:p>
        </w:tc>
        <w:tc>
          <w:tcPr/>
          <w:p>
            <w:pPr>
              <w:jc w:val="center"/>
            </w:pPr>
            <w:r>
              <w:t xml:space="preserve">21 572</w:t>
            </w:r>
          </w:p>
        </w:tc>
      </w:tr>
      <w:tr>
        <w:tc>
          <w:tcPr/>
          <w:p>
            <w:r>
              <w:t xml:space="preserve">апрель</w:t>
            </w:r>
          </w:p>
        </w:tc>
        <w:tc>
          <w:tcPr/>
          <w:p>
            <w:r>
              <w:t xml:space="preserve">16 419</w:t>
            </w:r>
          </w:p>
        </w:tc>
        <w:tc>
          <w:tcPr/>
          <w:p>
            <w:r>
              <w:t xml:space="preserve">10 177</w:t>
            </w:r>
          </w:p>
        </w:tc>
        <w:tc>
          <w:tcPr/>
          <w:p>
            <w:r>
              <w:t xml:space="preserve">10 132</w:t>
            </w:r>
          </w:p>
        </w:tc>
        <w:tc>
          <w:tcPr/>
          <w:p>
            <w:r>
              <w:t xml:space="preserve">12 078</w:t>
            </w:r>
          </w:p>
        </w:tc>
        <w:tc>
          <w:tcPr/>
          <w:p>
            <w:r>
              <w:t xml:space="preserve">16 255</w:t>
            </w:r>
          </w:p>
        </w:tc>
        <w:tc>
          <w:tcPr/>
          <w:p>
            <w:r>
              <w:t xml:space="preserve">15 938</w:t>
            </w:r>
          </w:p>
        </w:tc>
        <w:tc>
          <w:tcPr/>
          <w:p>
            <w:r>
              <w:t xml:space="preserve">12 828</w:t>
            </w:r>
          </w:p>
        </w:tc>
        <w:tc>
          <w:tcPr/>
          <w:p>
            <w:r>
              <w:t xml:space="preserve">31 057</w:t>
            </w:r>
          </w:p>
        </w:tc>
      </w:tr>
      <w:tr>
        <w:tc>
          <w:tcPr/>
          <w:p>
            <w:r>
              <w:t xml:space="preserve">май</w:t>
            </w:r>
          </w:p>
        </w:tc>
        <w:tc>
          <w:tcPr/>
          <w:p>
            <w:r>
              <w:t xml:space="preserve">13 575</w:t>
            </w:r>
          </w:p>
        </w:tc>
        <w:tc>
          <w:tcPr/>
          <w:p>
            <w:r>
              <w:t xml:space="preserve">9 157</w:t>
            </w:r>
          </w:p>
        </w:tc>
        <w:tc>
          <w:tcPr/>
          <w:p>
            <w:r>
              <w:t xml:space="preserve"> 10 071</w:t>
            </w:r>
          </w:p>
        </w:tc>
        <w:tc>
          <w:tcPr/>
          <w:p>
            <w:r>
              <w:t xml:space="preserve">13 295</w:t>
            </w:r>
          </w:p>
        </w:tc>
        <w:tc>
          <w:tcPr/>
          <w:p>
            <w:r>
              <w:t xml:space="preserve">16 063</w:t>
            </w:r>
          </w:p>
        </w:tc>
        <w:tc>
          <w:tcPr/>
          <w:p>
            <w:r>
              <w:t xml:space="preserve">15 114</w:t>
            </w:r>
          </w:p>
        </w:tc>
        <w:tc>
          <w:tcPr/>
          <w:p>
            <w:r>
              <w:t xml:space="preserve">13 754</w:t>
            </w:r>
          </w:p>
        </w:tc>
        <w:tc>
          <w:tcPr/>
          <w:p>
            <w:r>
              <w:t xml:space="preserve">24 928</w:t>
            </w:r>
          </w:p>
        </w:tc>
      </w:tr>
      <w:tr>
        <w:tc>
          <w:tcPr/>
          <w:p>
            <w:r>
              <w:t xml:space="preserve">июнь</w:t>
            </w:r>
          </w:p>
        </w:tc>
        <w:tc>
          <w:tcPr/>
          <w:p>
            <w:r>
              <w:t xml:space="preserve">12 155</w:t>
            </w:r>
          </w:p>
        </w:tc>
        <w:tc>
          <w:tcPr/>
          <w:p>
            <w:r>
              <w:t xml:space="preserve">8 912</w:t>
            </w:r>
          </w:p>
        </w:tc>
        <w:tc>
          <w:tcPr/>
          <w:p>
            <w:r>
              <w:t xml:space="preserve">10 305</w:t>
            </w:r>
          </w:p>
        </w:tc>
        <w:tc>
          <w:tcPr/>
          <w:p>
            <w:r>
              <w:t xml:space="preserve">14 193</w:t>
            </w:r>
          </w:p>
        </w:tc>
        <w:tc>
          <w:tcPr/>
          <w:p>
            <w:r>
              <w:t xml:space="preserve">16 021</w:t>
            </w:r>
          </w:p>
        </w:tc>
        <w:tc>
          <w:tcPr/>
          <w:p>
            <w:r>
              <w:t xml:space="preserve">14 645</w:t>
            </w:r>
          </w:p>
        </w:tc>
        <w:tc>
          <w:tcPr/>
          <w:p>
            <w:r>
              <w:t xml:space="preserve">  14 037</w:t>
            </w:r>
          </w:p>
        </w:tc>
        <w:tc>
          <w:tcPr/>
          <w:p>
            <w:r>
              <w:t xml:space="preserve">21 764</w:t>
            </w:r>
          </w:p>
        </w:tc>
      </w:tr>
      <w:tr>
        <w:tc>
          <w:tcPr/>
          <w:p>
            <w:r>
              <w:t xml:space="preserve">июль</w:t>
            </w:r>
          </w:p>
        </w:tc>
        <w:tc>
          <w:tcPr/>
          <w:p>
            <w:r>
              <w:t xml:space="preserve">12 424</w:t>
            </w:r>
          </w:p>
        </w:tc>
        <w:tc>
          <w:tcPr/>
          <w:p>
            <w:r>
              <w:t xml:space="preserve">8 850</w:t>
            </w:r>
          </w:p>
        </w:tc>
        <w:tc>
          <w:tcPr/>
          <w:p>
            <w:r>
              <w:t xml:space="preserve"> 10 528</w:t>
            </w:r>
          </w:p>
        </w:tc>
        <w:tc>
          <w:tcPr/>
          <w:p>
            <w:r>
              <w:t xml:space="preserve">14 716</w:t>
            </w:r>
          </w:p>
        </w:tc>
        <w:tc>
          <w:tcPr/>
          <w:p>
            <w:r>
              <w:t xml:space="preserve">15 552</w:t>
            </w:r>
          </w:p>
        </w:tc>
        <w:tc>
          <w:tcPr/>
          <w:p>
            <w:r>
              <w:t xml:space="preserve">12 372</w:t>
            </w:r>
          </w:p>
        </w:tc>
        <w:tc>
          <w:tcPr/>
          <w:p>
            <w:r>
              <w:t xml:space="preserve">14 668</w:t>
            </w:r>
          </w:p>
        </w:tc>
        <w:tc>
          <w:tcPr/>
          <w:p>
            <w:r>
              <w:t xml:space="preserve">20 913</w:t>
            </w:r>
          </w:p>
        </w:tc>
      </w:tr>
      <w:tr>
        <w:tc>
          <w:tcPr/>
          <w:p>
            <w:r>
              <w:t xml:space="preserve">август</w:t>
            </w:r>
          </w:p>
        </w:tc>
        <w:tc>
          <w:tcPr/>
          <w:p>
            <w:r>
              <w:t xml:space="preserve">12 382</w:t>
            </w:r>
          </w:p>
        </w:tc>
        <w:tc>
          <w:tcPr/>
          <w:p>
            <w:r>
              <w:t xml:space="preserve">8 640</w:t>
            </w:r>
          </w:p>
        </w:tc>
        <w:tc>
          <w:tcPr/>
          <w:p>
            <w:r>
              <w:t xml:space="preserve"> 10 845</w:t>
            </w:r>
          </w:p>
        </w:tc>
        <w:tc>
          <w:tcPr/>
          <w:p>
            <w:r>
              <w:t xml:space="preserve">15 144</w:t>
            </w:r>
          </w:p>
        </w:tc>
        <w:tc>
          <w:tcPr/>
          <w:p>
            <w:r>
              <w:t xml:space="preserve">14 948</w:t>
            </w:r>
          </w:p>
        </w:tc>
        <w:tc>
          <w:tcPr/>
          <w:p>
            <w:r>
              <w:t xml:space="preserve">12 099</w:t>
            </w:r>
          </w:p>
        </w:tc>
        <w:tc>
          <w:tcPr/>
          <w:p>
            <w:r>
              <w:t xml:space="preserve">15 839</w:t>
            </w:r>
          </w:p>
        </w:tc>
        <w:tc>
          <w:tcPr/>
          <w:p>
            <w:pPr>
              <w:jc w:val="center"/>
            </w:pPr>
            <w:r>
              <w:t xml:space="preserve"> </w:t>
            </w:r>
          </w:p>
        </w:tc>
      </w:tr>
      <w:tr>
        <w:tc>
          <w:tcPr/>
          <w:p>
            <w:r>
              <w:t xml:space="preserve">сентябрь</w:t>
            </w:r>
          </w:p>
        </w:tc>
        <w:tc>
          <w:tcPr/>
          <w:p>
            <w:r>
              <w:t xml:space="preserve">13 368</w:t>
            </w:r>
          </w:p>
        </w:tc>
        <w:tc>
          <w:tcPr/>
          <w:p>
            <w:r>
              <w:t xml:space="preserve">8 782</w:t>
            </w:r>
          </w:p>
        </w:tc>
        <w:tc>
          <w:tcPr/>
          <w:p>
            <w:r>
              <w:t xml:space="preserve">10 981</w:t>
            </w:r>
          </w:p>
        </w:tc>
        <w:tc>
          <w:tcPr/>
          <w:p>
            <w:pPr>
              <w:jc w:val="center"/>
            </w:pPr>
            <w:r>
              <w:t xml:space="preserve">16 202</w:t>
            </w:r>
          </w:p>
        </w:tc>
        <w:tc>
          <w:tcPr/>
          <w:p>
            <w:r>
              <w:t xml:space="preserve">15 265</w:t>
            </w:r>
          </w:p>
        </w:tc>
        <w:tc>
          <w:tcPr/>
          <w:p>
            <w:r>
              <w:t xml:space="preserve">11 888</w:t>
            </w:r>
          </w:p>
        </w:tc>
        <w:tc>
          <w:tcPr/>
          <w:p>
            <w:r>
              <w:t xml:space="preserve">16 496</w:t>
            </w:r>
          </w:p>
        </w:tc>
        <w:tc>
          <w:tcPr/>
          <w:p>
            <w:pPr>
              <w:jc w:val="center"/>
            </w:pPr>
            <w:r>
              <w:t xml:space="preserve"> </w:t>
            </w:r>
          </w:p>
        </w:tc>
      </w:tr>
      <w:tr>
        <w:tc>
          <w:tcPr/>
          <w:p>
            <w:r>
              <w:t xml:space="preserve">октябрь</w:t>
            </w:r>
          </w:p>
        </w:tc>
        <w:tc>
          <w:tcPr/>
          <w:p>
            <w:r>
              <w:t xml:space="preserve">13 254</w:t>
            </w:r>
          </w:p>
        </w:tc>
        <w:tc>
          <w:tcPr/>
          <w:p>
            <w:r>
              <w:t xml:space="preserve">9 014</w:t>
            </w:r>
          </w:p>
        </w:tc>
        <w:tc>
          <w:tcPr/>
          <w:p>
            <w:r>
              <w:t xml:space="preserve">10 728</w:t>
            </w:r>
          </w:p>
        </w:tc>
        <w:tc>
          <w:tcPr/>
          <w:p>
            <w:r>
              <w:t xml:space="preserve">16 987</w:t>
            </w:r>
          </w:p>
        </w:tc>
        <w:tc>
          <w:tcPr/>
          <w:p>
            <w:r>
              <w:t xml:space="preserve">15 263</w:t>
            </w:r>
          </w:p>
        </w:tc>
        <w:tc>
          <w:tcPr/>
          <w:p>
            <w:r>
              <w:t xml:space="preserve">11 301</w:t>
            </w:r>
          </w:p>
        </w:tc>
        <w:tc>
          <w:tcPr/>
          <w:p>
            <w:pPr>
              <w:jc w:val="center"/>
            </w:pPr>
            <w:r>
              <w:t xml:space="preserve">17 084</w:t>
            </w:r>
          </w:p>
        </w:tc>
        <w:tc>
          <w:tcPr/>
          <w:p>
            <w:pPr>
              <w:jc w:val="center"/>
            </w:pPr>
            <w:r>
              <w:t xml:space="preserve"> </w:t>
            </w:r>
          </w:p>
        </w:tc>
      </w:tr>
      <w:tr>
        <w:tc>
          <w:tcPr/>
          <w:p>
            <w:r>
              <w:t xml:space="preserve">ноябрь</w:t>
            </w:r>
          </w:p>
        </w:tc>
        <w:tc>
          <w:tcPr/>
          <w:p>
            <w:r>
              <w:t xml:space="preserve">12 455</w:t>
            </w:r>
          </w:p>
        </w:tc>
        <w:tc>
          <w:tcPr/>
          <w:p>
            <w:r>
              <w:t xml:space="preserve">9 293</w:t>
            </w:r>
          </w:p>
        </w:tc>
        <w:tc>
          <w:tcPr/>
          <w:p>
            <w:r>
              <w:t xml:space="preserve">10 779</w:t>
            </w:r>
          </w:p>
        </w:tc>
        <w:tc>
          <w:tcPr/>
          <w:p>
            <w:r>
              <w:t xml:space="preserve">16 865</w:t>
            </w:r>
          </w:p>
        </w:tc>
        <w:tc>
          <w:tcPr/>
          <w:p>
            <w:r>
              <w:t xml:space="preserve">15 179</w:t>
            </w:r>
          </w:p>
        </w:tc>
        <w:tc>
          <w:tcPr/>
          <w:p>
            <w:r>
              <w:t xml:space="preserve">10 743</w:t>
            </w:r>
          </w:p>
        </w:tc>
        <w:tc>
          <w:tcPr/>
          <w:p>
            <w:r>
              <w:t xml:space="preserve">17 595</w:t>
            </w:r>
          </w:p>
        </w:tc>
        <w:tc>
          <w:tcPr/>
          <w:p>
            <w:pPr>
              <w:jc w:val="center"/>
            </w:pPr>
            <w:r>
              <w:t xml:space="preserve"> </w:t>
            </w:r>
          </w:p>
        </w:tc>
      </w:tr>
      <w:tr>
        <w:tc>
          <w:tcPr/>
          <w:p>
            <w:r>
              <w:t xml:space="preserve">декабрь</w:t>
            </w:r>
          </w:p>
        </w:tc>
        <w:tc>
          <w:tcPr/>
          <w:p>
            <w:r>
              <w:t xml:space="preserve">12 380</w:t>
            </w:r>
          </w:p>
        </w:tc>
        <w:tc>
          <w:tcPr/>
          <w:p>
            <w:r>
              <w:t xml:space="preserve">9 948</w:t>
            </w:r>
          </w:p>
        </w:tc>
        <w:tc>
          <w:tcPr/>
          <w:p>
            <w:r>
              <w:t xml:space="preserve">11 190</w:t>
            </w:r>
          </w:p>
        </w:tc>
        <w:tc>
          <w:tcPr/>
          <w:p>
            <w:r>
              <w:t xml:space="preserve">17 171</w:t>
            </w:r>
          </w:p>
        </w:tc>
        <w:tc>
          <w:tcPr/>
          <w:p>
            <w:r>
              <w:t xml:space="preserve">14 989</w:t>
            </w:r>
          </w:p>
        </w:tc>
        <w:tc>
          <w:tcPr/>
          <w:p>
            <w:r>
              <w:t xml:space="preserve">10 239</w:t>
            </w:r>
          </w:p>
        </w:tc>
        <w:tc>
          <w:tcPr/>
          <w:p>
            <w:r>
              <w:t xml:space="preserve">18 387</w:t>
            </w:r>
          </w:p>
        </w:tc>
        <w:tc>
          <w:tcPr/>
          <w:p>
            <w:pPr>
              <w:jc w:val="center"/>
            </w:pPr>
            <w:r>
              <w:t xml:space="preserve"> 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Данный показатель используется в целях расчета базового значения единицы условного топлива, определяемого пунктом 1 Статьи 342.4. главы 26 части второй Налогового Кодекса Российской Федерации, используемого в свою очередь для исчисления за налоговый период налоговой ставки, предусмотренной подпунктами 10, 11 пункта 2 Статьи 342 главы 26 части второй Налогового Кодекса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Об определении величины расходов на транспортировку и хранение газа за пределами территорий государств - членов Таможенного союза при его реализации за пределы территорий государств - участников Содружества Независимых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Величина расходов на транспортировку и хранение газа за пределами территорий государств - членов Таможенного союза при его реализации за пределы территорий государств - участников Содружества Независимых Государств определенная в порядке, установленном постановлением Правительства Российской Федерации от 10 февраля 2015 г. № 107, с 1 марта 2016 года составляет 3399 руб. за 1 тыс. куб. м (без НДС), с 1 марта 2017 года составляет 2573 руб. за 1 тыс. куб. м (без НДС), с 1 марта 2018 года составляет 2496 руб. за 1 тыс. куб. м (без НДС), с 1 марта 2019 года составляет 2896 руб. за за 1 тыс. куб. м (без НДС), с 1 марта 2020 года составляет 2808 руб. за 1 тыс. куб. м (без НДС), с 1 марта 2021 года составляет 3274 руб. за 1 тыс. куб. м (без НДС), с 1 марта 2022 года составляет 3396 руб. за 1 тыс. куб. м(без НДС)».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 средней по Единой системе газоснабжения расчетной цены на газ, поставляемый потребителям Российской Федерации (кроме населения) (Цв)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3 Правил определения средней по Единой системе газоснабжения расчетной цены на газ горючий природный, поставляемый потребителям Российской Федерации (кроме населения), расчетной цены реализации газа за пределы территорий государств - участников Содружества Независимых государств и расходов на транспортировку и хранение газа за пределами территорий государств - членов Таможенного союза при его реализации за пределы территорий государств - участников Содружества Независимых государств (далее Правила), утвержденных постановлением Правительства Российской Федерации от 10.02.2015 № 107, единая по системе газоснабжения расчетная цена на газ, поставляемый потребителям Российской Федерации (кроме населения) (Цв), определяется по формуле: Цв= ЦоптНН/0,9955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где ЦоптНН- предельный минимальный уровень оптовых цен на газ, используемый для определения оптовой цены для потребителей Нижегородской области, определенный в соответствии с </w:t>
      </w:r>
      <w:r>
        <w:t xml:space="preserve">пунктами 15(1)</w:t>
      </w:r>
      <w:r>
        <w:t xml:space="preserve"> и </w:t>
      </w:r>
      <w:r>
        <w:t xml:space="preserve">15(2)</w:t>
      </w:r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г. № 1021, на налоговый период.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июля 2015 года на основании приказа ФСТ России от 08.06.2015 № 218-э/3 (столбец 1 приложения к приказу) значение ЦоптНН - 4034 руб. за 1000 куб.м. газа. Значение показателя Цв составляет 4052 руб. за 1000 куб. м. газа (4034/0,9955, округленное в соответствии с пунктом 2 Правил).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июля 2017 года на основании приказа ФАС России от 13.06.2017 № 776/17 (столбец 1 приложения к приказу) значение ЦоптНН - 4192 руб. за 1000 куб.м. газа. Значение показателя Цв составляет 4211 руб. за 1000 куб. м. газа (4192/0,9955, округленное в соответствии с пунктом 2 Правил) и применяется до пересмотра регулируемых оптовых цен на газ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 сентября 2018 года на основании приказа ФАС России от 03.08.2018 № 1088/18 (столбец 1 приложения к приказу) значение ЦоптНН - 4335 руб. за 1000 куб.м. газа. Значение показателя Цв составляет 4355 руб. за 1000 куб. м. газа (4335/0,9955, округленное в соответствии с пунктом 2 Правил) и применяется до следующего пересмотра регулируемых оптовых цен на газ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июля 2019 года на основании приказа ФАС России от 13.05.2019 № 583/19 (столбец 1 приложения к приказу) значение ЦоптНН - 4396 руб. за 1000 куб.м. газа. Значение показателя Цв составляет 4416 руб. за 1000 куб. м. газа (4396/0,9955, округленное в соответствии с пунктом 2 Правил) и применяется до следующего пересмотра регулируемых оптовых цен на газ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августа 2020 года на основании приказа ФАС России от 10.07.2020 No 638/20 (столбец 1 приложения к приказу) значение ЦоптНН - 4528 руб. за 1000 куб.м. газа. Значение показателя Цв составляет 4548 руб. за 1000 куб. м.   газа (4528/0,9955, округленное в соответствии с пунктом 2 Правил) и применяется до следующего пересмотра регулируемых оптовых цен на газ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июля 2021 года на основании приказа ФАС России от 02.06.2021 № 545/21 (столбец 1 приложения к приказу) значение ЦоптНН - 4664 руб. за 1000 куб.м. газа. Значение показателя Цв составляет 4685 руб. за 1000 куб. м.   газа (4664/0,9955, округленное в соответствии с пунктом 2 Правил) и применяется до следующего пересмотра регулируемых оптовых цен на газ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 средней по единой системе газоснабжения расчетной цене на газ (Црд), обеспечивающей равную доходность поставок газа потребителям Российской Федерации и потребителям, находящимся за пределами территорий государств - участников Содружества Независимых Государств, рублей за тысячу куб. метров и о понижающем коэффициенте (Кпониж), обеспечивающем соответствие изменения роста цен на газ средним параметрам ежегодного изменения цен на газ, поставляемый потребителям Российской Федерации (кроме населения)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Значение Црд: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июля 2015 года -6579,11533862543 руб. за 1000 куб. м.;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июля 2017 года - 4270,1457 руб. за 1000 куб. 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Значение Кпониж: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июля 2015 года - 0,6160;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июля 2017 года - 0,9861.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Показатели Црд и Кпониж опубликованы в соответствии с постановлением Правительства Российской Федерации от 23.09.2014 № 973.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