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проведении конкурентного отбора мощности на 2016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2015,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июля 2015 года Системный оператор Единой энергетической системы на своем официальном сайте разместил информацию, необходимую для проведения конкурентного отбора мощности на 2016 год. В том числе там размещен Приказ ФАС России «Об определении зон свободного перетока, в которых конкурентный отбор мощности на 2016 год проводится с использованием предельного размера цены на мощность» и Перечень хозяйствующих субъектов (группы лиц), занимающих доминирующее положение на оптовом рынке электрической энергии (мощности) в рамках одной зоны свободного перетока.</w:t>
      </w:r>
      <w:r>
        <w:br/>
      </w:r>
      <w:r>
        <w:t xml:space="preserve">
ФАС России считает необходимым напомнить, что </w:t>
      </w:r>
      <w:r>
        <w:rPr>
          <w:b/>
        </w:rPr>
        <w:t xml:space="preserve">согласно действующему порядку</w:t>
      </w:r>
      <w:r>
        <w:t xml:space="preserve"> проведения конкурентного отбора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Постановление Правительства РФ от 27.12.2010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постановление Правительства РФ от 17.12.2013 № 1164 «Об утверждении Правил осуществления антимонопольного регулирования и контроля в электроэнергетике».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