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разный размер задатка мог ввести потенциальных участников торгов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2015, 12:26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обоснованной жалобу на действия организатора торгов ООО «Специализированная торгующая организация» по продаже в Краснодаре на ул. Кубанская набережная нежилого здания и доли в праве общей долевой собственности на земельный участок.</w:t>
      </w:r>
      <w:r>
        <w:br/>
      </w:r>
      <w:r>
        <w:t xml:space="preserve">
Такое решение было принято в связи с тем, что организатор торгов в сообщениях, размещённых в газете «Коммерсантъ» и на электронной площадке, указал разный размер задатка, необходимого для участия в торгах. Это нарушает пункт 10 статьи 110 Закона о банкротстве, подпункт «к» пункта 3.2 и подпункт «а» пункта 3.7 Порядка, утвержденного приказом Минэкономразвития России от 15.02.2010 № 54.</w:t>
      </w:r>
      <w:r>
        <w:br/>
      </w:r>
      <w:r>
        <w:t xml:space="preserve">
По мнению ФАС России, разный размер задатка также мог ввести потенциальных участников торгов в заблуждение.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