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Рекомендации по обеспечению недискриминационного доступа к приобретению хлористого калия победили в конкурсе Мирового Банка и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2015, 13:09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Инициатива Федеральной антимонопольной службы (ФАС России) по разработке рекомендаций по обеспечению недискриминационного доступа к приобретению хлористого калия победила в конкурсе по адвокатированию конкуренции Мирового Банка и Международной конкурентной сети (МКС) в номинации «Продвижение проконкурентных реформ, направленных на усиление роста и уменьшение неравенства». </w:t>
      </w:r>
      <w:r>
        <w:br/>
      </w:r>
      <w:r>
        <w:t xml:space="preserve">
Рекомендации направлены на предупреждение нарушений антимонопольного законодательства на рынке хлористого калия и дают разъяснения хозяйствующим субъектам, какие действия на этом рынке не будут рассматриваться ФАС России как нарушающие антимонопольное законодательство.</w:t>
      </w:r>
      <w:r>
        <w:br/>
      </w:r>
      <w:r>
        <w:t xml:space="preserve">
Необходимость  разработки рекомендаций предопределялась структурой этого российского рынка, характеризующейся высокой экономической концентрацией и неразвитой конкурентной средой. </w:t>
      </w:r>
      <w:r>
        <w:br/>
      </w:r>
      <w:r>
        <w:t xml:space="preserve">
В целях недопущения необоснованных отказов от заключения договоров поставки в документе определен порядок и сроки проведения договорной компании. Эти условия дают возможность потребителям на равных условиях с конкурентами удовлетворить свои потребности в этом товаре. </w:t>
      </w:r>
      <w:r>
        <w:br/>
      </w:r>
      <w:r>
        <w:t xml:space="preserve">
Кроме того, рекомендации содержат подходы антимонопольного органа  к формированию цен на хлористый калий с целью недопущения установления её на монопольно высоком уровне.</w:t>
      </w:r>
      <w:r>
        <w:br/>
      </w:r>
      <w:r>
        <w:t xml:space="preserve">
Таким образом, антимонопольная служба сформировала позицию по существенным условиям обращения товара на внутреннем рынке.</w:t>
      </w:r>
      <w:r>
        <w:br/>
      </w:r>
      <w:r>
        <w:t xml:space="preserve">
Официальная церемония награждения победителей состоится 23 июня в г. Вашингтон (США).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