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Итоги первого года действия новых правил государственных закупок подвели в Красноярске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марта 2015, 17:50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февраля 2015 года в рамках XII Красноярского экономического форума состоялась сессия, посвященная Закону о контрактной системе. </w:t>
      </w:r>
      <w:r>
        <w:br/>
      </w:r>
      <w:r>
        <w:t xml:space="preserve">
Участниками дискуссии стали представители федеральных органов исполнительной власти, Торгово-Промышленной Палаты, Счетной Палаты, общественных организаций и др. От Федеральной антимонопольной службы (ФАС России) участвовала заместитель начальника Управления контроля размещения государственного заказа Диляра Баширова. </w:t>
      </w:r>
      <w:r>
        <w:br/>
      </w:r>
      <w:r>
        <w:t xml:space="preserve">
Она отметила, что антимонопольная служба проводит анализ практики применения Закона о контрактной системе, с целью выявления проблем, требующих внесение изменений. «В 2014 году принято множество нормативно-правовых актов, регулирующих сферу закупок. Основополагающим стал 140-ФЗ, который решил множество проблем.  Например, поправки решили проблему закупок малого объема», - подчеркнула Диляра Баширова. </w:t>
      </w:r>
      <w:r>
        <w:br/>
      </w:r>
      <w:r>
        <w:t xml:space="preserve">
В свою очередь, представитель ФАС России рассказала, что для повышения конкуренции на торгах и снижению риска сговора необходимо в ускоренном порядке перевести «бумажные» конкурсы в электронную форму и обязать ГУПы и МУПы руководствоваться при осуществлении закупок Законом о контрактной системе. </w:t>
      </w:r>
      <w:r>
        <w:br/>
      </w:r>
      <w:r>
        <w:t xml:space="preserve">
Также в рамках сессии обсуждался вопрос поддержки малого предпринимательства в сфере закупок. В частности, поступило предложение при проведении специальных торгов для МСП увеличить начальную (максимальную) цену контракту до 30 млн рублей, а также ввести фиксированные сроки для оплаты МСП по контракту. Это позволит, в том числе  реализовать меры, предусмотренные антикризисным планом Правительства РФ в качестве поддержки малого и среднего предпринимательства. </w:t>
      </w:r>
      <w:r>
        <w:br/>
      </w:r>
      <w:r>
        <w:t xml:space="preserve">
В завершение сессии участники высказались о дальнейших направлениях совершенствования контрактной системы.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