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Челябинска получила от ФАС предписание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2015, 09:28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признала обоснованной жалобу ООО «Промышленные информационные технологии» на действия организатора торгов – Администрации города Челябинска. Открытый конкурс проводился на право заключения концессионного соглашения в отношении отдельных объектов городской системы водоснабжения и водоотведения.</w:t>
      </w:r>
      <w:r>
        <w:br/>
      </w:r>
      <w:r>
        <w:t xml:space="preserve">
Администрации Челябинска придется устранить выявленные нарушения. Согласно предписанию ФАС России, необходимо из конкурсной документации исключить положения, предусматривающие установление предельного размера расходов концессионера на создание и (или) реконструкцию объекта концессии на каждый год срока ее действия. При этом в конкурсной документации нужно будет указать величины необходимой мощности (нагрузки) водопроводных и канализационных сетей, сооружений на них в определенных точках поставки, точках подключения, приема, подачи, отведения, а также сроков ввода мощностей в эксплуатацию и вывода из нее.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