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 старт реформе рынка тепловой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2014, 17:34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октября 2014 года распоряжением Правительства Российской Федерации № 1949-р был утвержден план мероприятий (дорожной карта) «Внедрение целевой модели рынка тепловой энергии».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документ принят в целях реформирования рынка тепловой энергии, в том числе путем его либерализации и, как следствие, дерегулирования цен на тепловую энергию.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«Необходимость реформирования теплоэнергетической отрасли созрела достаточно давно. Изношенность инфраструктуры и отсутствие инвестиционной привлекательности в отрасли грозили наступлением серьезного кризиса в сфере теплоснабжения в ближайшие годы, – заявил начальник Управления контроля электроэнергетики ФАС России Виталий Королев. – В связи с этим Правительство Российской Федерации утвердило Дорожную карту, основной идеей которой, является повышение инвестиционной привлекательности отрасли, в первую очередь за счет дерегулирования рынка тепловой энергии».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процесс подразумевает необходимость усиления иных форм контроля вместо государственного регулирования цен (тарифов). Дорожной картой предусмотрено: принятие Правил недискриминационного доступа в сфере теплоснабжения, в том числе при подключении к системам теплоснабжения; определение особенностей антимонопольного регулирования и контроля в сфере теплоснабжения; совершенствование механизмов раскрытия информации субъектами теплоснабжения; и осуществление прочих мероприятий, которые связаны с дерегулированием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Дорожной карты позволяет говорить о том, что даже такие естественно-монопольные сферы, как теплоснабжение, движутся в сторону их дерегулирования с применением методов антимонопольного регулирования и контроля. В этой связи особо актуальным является решение, принятое на заседании Правительства Российской Федерации 7 августа 2014 года, о необходимости проработать вопрос о совершенствовании законодательства о естественных монополиях. Так, ФАС России разработала проект федерального закона, направленный на урегулирование отношений в сфере естественных монополий, который учитывает последние тенденции развития естественно-монопольных отраслей и лучшие международные практики в этой сфере.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