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Аспекты конкурентной политики. Мировой опыт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2014, 14:43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«День конкуренции в России» – это площадка для обмена ведущими мировыми практиками. Так, на Пленарном заседании, состоявшемся 8 сентября 2014 года в Санкт-Петербурге, прозвучали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доклады представителей конкурентных ведомств и организаций из разных стран мира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современных аспектах конкурентной политики рассказал Генеральный директор Австрийского Федерального конкурентного ведомства Теодор Таннер. Он отметил, что конкуренция в первую очередь выгодна покупателям. «Благодаря развитой конкуренции цена на товары снижается, а их качество повышается за счет внедрения новых инновационных технологий».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этом, в случае, если компании пытаются ограничить конкуренцию, для сохранения правильного функционирования рынка антимонопольные органы должны предотвращать, а иногда и корректировать такое поведение. Для этого осуществляется пресечение антиконкурентных соглашений и злоупотреблений доминирующим положением предприятий.</w:t>
      </w:r>
      <w:r>
        <w:br/>
      </w:r>
      <w:r>
        <w:t xml:space="preserve">
Кроме того, для достижения наиболее эффективного результата конкурентные ведомства разных стран должны взаимодействовать друг с другом. В этой связи Т. Таннер привел пример рынка телекоммуникаций, который в настоящий момент находится в поле зрения Австрийского конкурентного ведомства и Рабочей группы по роумингу, сопредседателями которой являются ФАС России и конкурентное ведомство Турции.</w:t>
      </w:r>
      <w:r>
        <w:br/>
      </w:r>
      <w:r>
        <w:t xml:space="preserve">
Глава отдела по конкурентной и потребительской политике Конференции ООН по торговле и развитию (ЮНКТАД) Хассан Какайя рассказал о независимости и подотчетности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по его словам, антимонопольный орган должен быть свободным от политического или бизнес влияния. Вместе с тем ни одно из конкурентных ведомств не может быть полностью независимым от Правительства. Существует несколько моделей подотчетности конкурентных ведомств, однако выбор модели не является универсальным, а зависит от множества факторов, в том числе от политико-административного, правового и социально-экономического контекста. «В этом случае трудностью для большинства стран является достижение наилучшего баланса между автономией и контролем», – подчеркнул Хассан Какайя.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5814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