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торговую политику НК «Альянс»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2014, 16:18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согласовала торговую политику ОАО «НК «Альянс» в отношении оптовой реализации автомобильных бензинов и дизельного топлива в Российской Федерации».</w:t>
      </w:r>
      <w:r>
        <w:br/>
      </w:r>
      <w:r>
        <w:t xml:space="preserve">
Торговая политика разработана компанией в целях максимально эффективного взаимодействия со всеми потенциальными и существующими покупателями; установления недискриминационных условий при реализации нефтепродуктов покупателям; максимальной прозрачности процесса реализации нефтепродуктов на территории Российской Федерации и обеспечения информационной открытости в отношении политики компании и сбытовых обществ в сфере оптовой и мелкооптовой реализации нефтепродуктов на территории Российской Федерации, в том числе о порядке выбора контрагентов, ценообразования, иных условий реализации нефтепродуктов.</w:t>
      </w:r>
      <w:r>
        <w:br/>
      </w:r>
      <w:r>
        <w:t xml:space="preserve">
«Следует отметить, что группа компаний Альянс осуществляет свою деятельность в основном на территории Дальневосточного федерального округа, и принятие и внедрение компанией соответствующей торговой политики станет важным шагом в формировании цивилизованных рыночных условий на рынке нефтепродуктов этого округа», – подчеркнул заместитель руководителя ФАС России Анатолий Голомолзин.</w:t>
      </w:r>
      <w:r>
        <w:br/>
      </w:r>
      <w:r>
        <w:t xml:space="preserve">
Напомним, ранее ФАС России были согласованы торговые политики ОАО АНК «Башнефть», ОАО «Газпром нефть» и Группы «ЛУКОЙЛ».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