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Группа «ЛУКОЙЛ» согласовала свои торговые политики с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2014, 17:43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2014 года Федеральная антимонопольная служба (ФАС России) согласовала торговые политики Группы «ЛУКОЙЛ» в области оптовой реализации автомобильных бензинов и дизельного топлива в Российской Федерации.</w:t>
      </w:r>
      <w:r>
        <w:br/>
      </w:r>
      <w:r>
        <w:t xml:space="preserve">
Торговые политики разработаны Компанией «ЛУКОЙЛ» в целях установления недискриминационных и транспарентных условий реализации автомобильных бензинов и дизельного топлива на территории Российской Федерации. Они устанавливают принципы, условия, способы, направления реализации нефтепродуктов всех организаций Группы «ЛУКОЙЛ», реализующих моторное топливо оптом на территории Российской Федерации, квалификационные требования, предъявляемые к покупателям, а также содержат основные сведения о порядке формирования цен и порядке заключения договоров поставки нефтепродуктов.</w:t>
      </w:r>
      <w:r>
        <w:br/>
      </w:r>
      <w:r>
        <w:t xml:space="preserve">
В этих документах Группа «ЛУКОЙЛ» официально закрепило свою ориентированность на достижение возможности полного удовлетворения заявок конечных потребителей и третьих лиц на поставку моторного топлива как напрямую с нефтеперерабатывающих заводов, так и через нефтебазы дочерних обществ. В том числе путем организационного обособления оптовой и розничной реализации нефтепродуктов, после введения в действие требований Технического регламента о недопущении к обороту на территории Российской Федерации автомобильных бензинов ниже пятого экологического класса и полного перехода рынка на работу в соответствии с этими требованиями, то есть с 2016 года. Это будет способствовать увеличению открытости и прозрачности продаж, и позволит обеспечить недискриминационный допуск потребителей на розничный и оптовый рынок нефтепродуктов.</w:t>
      </w:r>
      <w:r>
        <w:br/>
      </w:r>
      <w:r>
        <w:t xml:space="preserve">
Напомним, ранее ФАС России были согласованы торговые политики компаний ТНК-BP, ОАО АНК «Башнефть» и ОАО «Газпром нефть».</w:t>
      </w:r>
      <w:r>
        <w:br/>
      </w:r>
      <w:r>
        <w:t xml:space="preserve">
Целью подписания торговых политик служат:</w:t>
      </w:r>
      <w:r>
        <w:br/>
      </w:r>
      <w:r>
        <w:t xml:space="preserve">
•	обеспечение максимальной прозрачности процесса сбытовой деятельности нефтяных компаний для существующих и потенциальных покупателей, регулирующих органов, сотрудников нефтяных компаний и иных заинтересованных лиц;</w:t>
      </w:r>
      <w:r>
        <w:br/>
      </w:r>
      <w:r>
        <w:t xml:space="preserve">
•	предупреждение нарушений действующего законодательства Российской Федерации;</w:t>
      </w:r>
      <w:r>
        <w:br/>
      </w:r>
      <w:r>
        <w:t xml:space="preserve">
•	информирование о политике нефтяных компаний в сфере реализации нефтепродуктов на оптовых рынках в Российской Федерации, в том числе о порядке выбора контрагентов и ценообразования.</w:t>
      </w:r>
      <w:r>
        <w:br/>
      </w:r>
      <w:r>
        <w:t xml:space="preserve">
«Эти документы и практика их применения станут важным шагом в формировании цивилизованных рыночных условий на рынках нефти и нефтепродуктов в Российской Федерации», - подчеркнул начальник Управления контроля топливно-энергетического комплекса ФАС России Дмитрий Махонин.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