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исследования состояния конкурентной среды на розничных рынках автомобильных бензинов и дизельного топлива в РФ за 2012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2013, 10:22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исследования состояния конкурентной среды на розничных рынках автомобильных бензинов и дизельного топлива в РФ за 2012 год Федеральная антимонопольная служба (ФАС России), совместно с территориальными органами, завершила исследование состояния конкурентной среды на розничных рынках автомобильных бензинов и дизельного топлива в Российской Федерации за 2012 год.</w:t>
      </w:r>
      <w:r>
        <w:br/>
      </w:r>
      <w:r>
        <w:t xml:space="preserve">
Целью исследования на розничном рынке автомобильных бензинов является установление доминирующего положения вертикально-интегрированных нефтяных компаний (ВИНК) на региональных рынках.</w:t>
      </w:r>
      <w:r>
        <w:br/>
      </w:r>
      <w:r>
        <w:t xml:space="preserve">
По результатам исследования</w:t>
      </w:r>
      <w:r>
        <w:t xml:space="preserve">1</w:t>
      </w:r>
      <w:r>
        <w:t xml:space="preserve">, установлено, что:</w:t>
      </w:r>
      <w:r>
        <w:br/>
      </w:r>
      <w:r>
        <w:t xml:space="preserve">
•	рынки розничной реализации автомобильных бензинов (по всем маркам) являются высококонцентрированными в 64-х субъектах Российской Федерации, умеренноконцентрированными – в 4-х субъектах Российской Федерации, низкоконцентрированными – в 2-х субъектах Российской Федерации;</w:t>
      </w:r>
      <w:r>
        <w:br/>
      </w:r>
      <w:r>
        <w:t xml:space="preserve">
•	рынки розничной реализации дизельного топлива являются высококонцентрированными в 65 субъектах Российской Федерации, умеренноконцентрированными – в 7 субъектах Российской Федерации, низкоконцентрированными – в 2-х субъектах Российской Федерации.</w:t>
      </w:r>
      <w:r>
        <w:br/>
      </w:r>
      <w:r>
        <w:t xml:space="preserve">
Также следует отметить, что в большинстве субъектов Российской Федерации существуют труднопреодолимые барьеры в виде экономических ограничений и наличия на розничных рынках ВИНК, которые существенно снижают возможность входа на рынок новых хозяйствующих субъектов. В связи с этим, можно сделать вывод о неразвитости или недостаточной развитости конкуренции на большей части этого товарного рынка, характеризующийся стабильным и неизменным составом таких крупнейших хозяйствующих субъектов, действующих на этом рынке, как ОАО «Газпром нефть», ОАО «НК «Альянс», ОАО «АНК «Башнефть», ОАО «ЛУКОЙЛ», ОАО «НК «Роснефть», ОАО «Сургутнефтегаз», ОАО «ТНК-BP Холдинг», ОАО «Татнефть» имени В.Д. Шашина.</w:t>
      </w:r>
      <w:r>
        <w:br/>
      </w:r>
      <w:r>
        <w:t xml:space="preserve">
Немаловажным фактором, способствующим ограничению конкуренции на розничном рынке моторного топлива в Российской Федерации в 2012 году, являлась стратегия поведения ВИНК по отношению к независимым участникам рынка, путем злоупотребления доминирующим положением.</w:t>
      </w:r>
      <w:r>
        <w:br/>
      </w:r>
      <w:r>
        <w:t xml:space="preserve">
Так, в 2012 году территориальными органами ФАС России было возбуждено 55 дел в отношении хозяйствующих субъектов, занимающих доминирующее положение на рынках нефти и нефтепродуктов, о нарушении антимонопольного законодательства по статье 10 Закона о защите конкуренции.</w:t>
      </w:r>
      <w:r>
        <w:br/>
      </w:r>
      <w:r>
        <w:t xml:space="preserve">
Дополнительно, ФАС России считает необходимым отметить, положительную тенденцию сокращения числа нарушений антимонопольного законодательства хозяйствующими субъектами в 2013 году, путем злоупотребления своим доминирующим положением. Так, за I полугодие 2013 года территориальными органами ФАС России было возбуждено всего 7 дел о нарушении антимонопольного законодательства по статье 10 Закона о защите конкуренции.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</w:t>
      </w:r>
      <w:r>
        <w:t xml:space="preserve">По данным 73 территориальных органов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