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Предварительные итоги отбора мощности на 2014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2013, 16:40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сентября 2013 года завершился прием ценовых заявок для конкурентных отборов мощности на 2014 год, предварительные результаты которого были опубликованы на сайте ОАО «СО ЕЭС». </w:t>
      </w:r>
      <w:r>
        <w:br/>
      </w:r>
      <w:r>
        <w:t xml:space="preserve">
Напомним, отборы мощности на 2014 год проходили в 21 зоне свободного перетока, причем в пяти из них (Сибирь, Центр, Урал, Волга, Вятка) торги прошли при отсутствии предельных уровней цен. В оставшихся 16 ЗСП цены на мощность сложились на уровне предельных цен – 133 тыс. руб/МВт для Первой ценовой зоны оптового рынка и 144 тыс. руб/Мвт – во Второй.</w:t>
      </w:r>
      <w:r>
        <w:br/>
      </w:r>
      <w:r>
        <w:t xml:space="preserve">
Согласно предварительным итогам, наиболее низкая цена сложилась в ЗСП Сибирь – 97 тыс. руб/Мвт, наиболее высокая – в ЗСП Урал –140 тыс. руб/Мвт.</w:t>
      </w:r>
      <w:r>
        <w:br/>
      </w:r>
      <w:r>
        <w:t xml:space="preserve">
Окончательные результаты конкурентного отбора мощности будут сформированы не позднее 15 рабочих дней после публикации предварительных итогов, в течение которых ФАС России будет проведен анализ на предмет наличия признаков манипулирования ценами и соответствия ценовых заявок, выданным ранее антимонопольным органом, дополнительным требованиям к ценовым заявкам, подаваемым для участия в конкурентном отборе мощности поставщиками мощности.</w:t>
      </w:r>
      <w:r>
        <w:br/>
      </w:r>
      <w:r>
        <w:t xml:space="preserve">
Отметим, что в соответствии с пунктом 110 Правил оптового рынка электрической энергии и мощности в случае подачи в отношении генерирующего объекта ценовой заявки, которая не соответствует дополнительным требованиям, введенным федеральным антимонопольным органом, мощность такого объекта рассматривается как не отобранная на этом конкурентном отборе мощности.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