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«Натур Продукт Интернэшнл» все-таки придется заплатить штраф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2013, 14:17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2013 года Арбитражный суд города Москвы пересмотрел свое решение от июня 2012 года и    отказал в удовлетворении заявления ЗАО «Натур Продукт Интернэшнл» о признании недействительным постановления ФАС России о наложении штрафа за недобросовестную конкуренцию. </w:t>
      </w:r>
      <w:r>
        <w:br/>
      </w:r>
      <w:r>
        <w:t xml:space="preserve">
Напомним, 6 марта 2012 года ФАС России вынесла постановление о наложении штрафа в 300 тысяч рублей на ЗАО «Натур Продукт Интернэшнл» за недобросовестную конкуренцию.  Акт недобросовестной конкуренции выразился в приобретении и использовании исключительных прав на словесный товарный знак «АнтиГриппин» по свидетельству № 406816 и комбинированные товарные знаки по свидетельствам №№ 375093 и 375094.</w:t>
      </w:r>
      <w:r>
        <w:br/>
      </w:r>
      <w:r>
        <w:t xml:space="preserve">
Арбитражный суд города Москвы решением от июня 2012 года отменил это постановление ФАС России в связи с отсутствием события административного правонарушения, так как решение ФАС России о признании действий ЗАО «Натур Продукт Интернэшнл» актом недобросовестной конкуренции было отменено судами первой и апелляционной инстанций.</w:t>
      </w:r>
      <w:r>
        <w:br/>
      </w:r>
      <w:r>
        <w:t xml:space="preserve">
Однако постановлением от октября 2012 года  Федеральный арбитражный суд Московского округа отменил судебные акты первой и апелляционной инстанций и признал законность и обоснованность решения ФАС России о нарушении антимонопольного законодательства ЗАО «Натур Продукт Интернэшнл».  Высший Арбитражный Суд Российской Федерации отказал Обществу в передаче дела в Президиум для пересмотра в порядке надзора постановления Федерального арбитражного суда АС Московского округа от 18.10.2012.</w:t>
      </w:r>
      <w:r>
        <w:br/>
      </w:r>
      <w:r>
        <w:t xml:space="preserve">
Это обстоятельство послужило основанием для пересмотра решения Арбитражного суда города Москвы от июня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	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  <w:r>
        <w:t xml:space="preserve">
2.	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