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Апелляция: реклама кредита и вклада банка «Стройкредит»   в метро вводит в заблуждение потребителей</w:t>
      </w:r>
    </w:p>
    <w:p xmlns:w="http://schemas.openxmlformats.org/wordprocessingml/2006/main" xmlns:pkg="http://schemas.microsoft.com/office/2006/xmlPackage" xmlns:str="http://exslt.org/strings" xmlns:fn="http://www.w3.org/2005/xpath-functions">
      <w:r>
        <w:t xml:space="preserve">27 февраля 2013, 11:48</w:t>
      </w:r>
    </w:p>
    <w:p xmlns:w="http://schemas.openxmlformats.org/wordprocessingml/2006/main" xmlns:pkg="http://schemas.microsoft.com/office/2006/xmlPackage" xmlns:str="http://exslt.org/strings" xmlns:fn="http://www.w3.org/2005/xpath-functions">
      <w:r>
        <w:t xml:space="preserve">Девятый арбитражный апелляционный суд 25 февраля 2013 года  пришел к выводу, что в рекламе кредита и вклада ОАО КБ "Стройкредит" существенные условия предоставления услуг прописаны мелким, нечитаемым шрифтом, что негативно сказывается на восприятии рекламы потребителями и вводит их  заблуждение в отношении условий,   определяющих фактическую стоимость этих услуг. Таким образом, суд поддержал решение ФАС России о нарушении банком при рекламировании своих услуг требований 7 статьи 5, пункта 2 части 2 и части 3 статьи 28 ФЗ «О рекламе».</w:t>
      </w:r>
      <w:r>
        <w:br/>
      </w:r>
      <w:r>
        <w:t xml:space="preserve">
Ранее, 9 августа 2012 года, Комиссия ФАС России признала рекламу кредита и вклада  банка, размещенную на стенах тоннеля эскалаторного схода на станции метрополитена Баррикадная в г. Москве в апреле-мае 2012 года, ненадлежащей, поскольку существенные условия предоставления услуг прописаны мелким, нечитаемым шрифтом.</w:t>
      </w:r>
      <w:r>
        <w:br/>
      </w:r>
      <w:r>
        <w:t xml:space="preserve">
В рекламе кредита крупным шрифтом выделено наиболее привлекательное для потребителей условие – процентная ставка от 14 % годовых. В рекламе вклада также крупным шрифтом выделено наиболее привлекательное для потребителей условие – процентная ставка 11,25% годовых.  Процентные ставки по обоим продуктам могут восприниматься потребителями, находящимися на эскалаторе, без затруднений.</w:t>
      </w:r>
      <w:r>
        <w:br/>
      </w:r>
      <w:r>
        <w:t xml:space="preserve">
Вместе с тем движение эскалатора не позволяет пассажирам ознакомиться с иными условиями, изложенными в рекламе мелким шрифтом, и соответственно, эти условия не доводятся до сведения потребителей в условиях движения на эскалаторе.</w:t>
      </w:r>
      <w:r>
        <w:br/>
      </w:r>
      <w:r>
        <w:t xml:space="preserve">
ОАО КБ "Стройкредит" с решением Комиссии ФАС России не согласилось и обжаловало его в судебном порядке.  Первая судебная инстанция в удовлетворении иска банку отказала, а затем и апелляционный суд поддержал решение антимонопольной службы. </w:t>
      </w:r>
    </w:p>
    <w:p xmlns:w="http://schemas.openxmlformats.org/wordprocessingml/2006/main" xmlns:pkg="http://schemas.microsoft.com/office/2006/xmlPackage" xmlns:str="http://exslt.org/strings" xmlns:fn="http://www.w3.org/2005/xpath-functions">
      <w:r>
        <w:br/>
      </w:r>
      <w:r>
        <w:t xml:space="preserve">
Справка</w:t>
      </w:r>
      <w:r>
        <w:br/>
      </w:r>
      <w:r>
        <w:t xml:space="preserve">
1.	В соответствии с частью 7 статьи 5 Федерального закона от 13.03.2006 № 38-ФЗ «О рекламе» (далее -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xmlns:w="http://schemas.openxmlformats.org/wordprocessingml/2006/main" xmlns:pkg="http://schemas.microsoft.com/office/2006/xmlPackage" xmlns:str="http://exslt.org/strings" xmlns:fn="http://www.w3.org/2005/xpath-functions">
      <w:r>
        <w:t xml:space="preserve">2. В соответствии с пунктом 2 части 2 статьи 28 Федерального закона «О рекламе» в рекламе финансовых услуг не допускается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xmlns:w="http://schemas.openxmlformats.org/wordprocessingml/2006/main" xmlns:pkg="http://schemas.microsoft.com/office/2006/xmlPackage" xmlns:str="http://exslt.org/strings" xmlns:fn="http://www.w3.org/2005/xpath-functions">
      <w:r>
        <w:t xml:space="preserve">3. Согласно части 3 статьи 28 Федерального закона «О рекламе»,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заёмщика и влияющие на неё.</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