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первой инстанции: подвесной способ размещения кабелей связи запрещать нельзя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декабря 2012 года Арбитражный суд города Москвы признал законными решение и предписание Федеральной антимонопольной службы (ФАС России) в отношении Администрации города Екатеринбурга.</w:t>
      </w:r>
      <w:r>
        <w:br/>
      </w:r>
      <w:r>
        <w:t xml:space="preserve">
Напомним, что 30 мая 2012 года ФАС России признала Администрацию города Екатеринбурга нарушившей пункты 1, 2 части 1 статьи 15 закона «О защите конкуренции». Нарушение выразилось в принятии постановления от 16 сентября 2011 г. «Об ограничении размещения волоконно-оптических линий связи на опорах наружного освещения и контактной сети на территории муниципального образования «город Екатеринбург». Принятое постановление ограничило возможности использования опор контактных сетей для размещений кабелей связи, а также создало необоснованные требования к операторам связи, которые размещают кабели для оказания услуг электросвязи.</w:t>
      </w:r>
      <w:r>
        <w:br/>
      </w:r>
      <w:r>
        <w:t xml:space="preserve">
По факту нарушения ФАС России предписала Администрации города Екатеринбурга устранить нарушения антимонопольного законодательства путем внесения изменений в принятое Постановление.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