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Реклама ряда финансовых продуктов  Бинбанка нарушает требования закона о рекламе</w:t>
      </w:r>
    </w:p>
    <w:p xmlns:w="http://schemas.openxmlformats.org/wordprocessingml/2006/main" xmlns:pkg="http://schemas.microsoft.com/office/2006/xmlPackage" xmlns:str="http://exslt.org/strings" xmlns:fn="http://www.w3.org/2005/xpath-functions">
      <w:r>
        <w:t xml:space="preserve">09 ноября 2012, 15:42</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1 ноября 2012 г. признала ненадлежащей рекламу вкладов «МАКСИМАЛЬНАЯ ВЫСОТА», РАСТУЩИЙ ПРОЦЕНТ»,  «ДОХОДНЫЙ +», «Универсальный», поскольку в ней отсутствует часть существенной  информации об условиях вклада. Такая реклама противоречит требованиям части 7 статьи 5 Федерального закона «О рекламе». Также ненадлежащей признана реклама вкладов «МАКСИМАЛЬНАЯ ВЫСОТА», РАСТУЩИЙ ПРОЦЕНТ», «ДОХОДНЫЙ +», «Универсальный», поскольку в ней при указании одного  из условий вклада не приводятся все условия, влияющие на сумму расходов, которую понесут воспользовавшиеся услугами лица. Это является нарушением требований пункта 2 части 2  статьи 28 закона о рекламе.  Ненадлежащей Комиссия ФАС России признала и рекламу потребительского кредита и кредита «Деньги сразу!», поскольку в этой рекламе отсутствует часть существенной информации об условиях кредита, что противоречит требованиям части 7 статьи 5 закона о рекламе.  Также реклама потребительского кредита и кредита «Деньги сразу!» признана ненадлежащей, поскольку в ней при указании одного из условий кредита не приводятся все условия, влияющие на сумму расходов, которую понесут воспользовавшиеся услугами лица, а также определяющие фактическую стоимость кредита. Такая реклама нарушает требования пункта 2 части 2 и части 3 статьи 28 Федерального закона «О рекламе».  </w:t>
      </w:r>
      <w:r>
        <w:rPr>
          <w:i/>
        </w:rPr>
        <w:t xml:space="preserve">Необходимо обратить внимание на то, что в рекламе этого кредита под рекламным термином «переплата» понимается разница между суммой основного долга заёмщика с начисленными за пользование кредитом процентами и суммой полученного заёмщиком кредита. Следовательно, термин «переплата» использован в рекламе для указания на стоимость кредита, которую заёмщик выплатит банку за пользование заёмными денежными средствами. Размер «переплаты», указанный в рекламе как 12% в год, рассчитан исходя из условий кредитования на 12% месяцев по ставке 21% годовых. Вместе с тем размер «переплаты», и соответственно, стоимость кредита зависит от срока кредита и размера процентной ставки. Процентная ставка по потребкредиту определяется индивидуально по результатам рассмотрения кредитной заявки и устанавливается в зависимости от кредитоспособности клиента и рисков банка в пределах 17 - 29,9% годовых. Срок кредитования составляет от 6 месяцев до 60 месяцев. Следовательно, в рекламе указан один из вариантов расчёта полной стоимости кредита – суммы денежных средств, которую заёмщик выплатит банку за пользование кредитом в размере ста тысяч рублей в течение одного года. При этом этот результат представлен в форме процентного соотношения – 12% в год, без обуславливающих этот результат условий кредита. Вместе с тем такая форма представления полной стоимости кредита даёт основание полагать, что это годовая процентная ставка по кредиту, действующая в отношении любого срока кредитования. Информация в рекламе о том, что по кредиту «переплата» составляет 12% в год создаёт у потребителей неверное искажённое представление о процентной ставке по кредиту и вводит потребителей в заблуждение относительно стоимости кредита на иной срок кредитования.</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 </w:t>
      </w:r>
      <w:r>
        <w:br/>
      </w:r>
      <w:r>
        <w:t xml:space="preserve">
В прошлом году ФАС России пресекла более 12 тысяч нарушений различных нарушений законодательства о рекламе.</w:t>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