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Перспективы развития химической отрасли в условиях глобализации экономики</w:t>
      </w:r>
    </w:p>
    <w:p xmlns:w="http://schemas.openxmlformats.org/wordprocessingml/2006/main" xmlns:pkg="http://schemas.microsoft.com/office/2006/xmlPackage" xmlns:str="http://exslt.org/strings" xmlns:fn="http://www.w3.org/2005/xpath-functions">
      <w:r>
        <w:t xml:space="preserve">06 ноября 2012, 12:24</w:t>
      </w:r>
    </w:p>
    <w:p xmlns:w="http://schemas.openxmlformats.org/wordprocessingml/2006/main" xmlns:pkg="http://schemas.microsoft.com/office/2006/xmlPackage" xmlns:str="http://exslt.org/strings" xmlns:fn="http://www.w3.org/2005/xpath-functions">
      <w:pPr>
        <w:jc w:val="both"/>
      </w:pPr>
      <w:r>
        <w:t xml:space="preserve">1 ноября 2012 года состоялось первое заседание Экспертного совета по химической промышленности при Федеральной антимонопольной службе (ФАС России).</w:t>
      </w:r>
      <w:r>
        <w:br/>
      </w:r>
      <w:r>
        <w:t xml:space="preserve">
С вступительным словом на заседании выступил Председатель Экспертного совета, Заместитель руководителя ФАС России – Андрей Цыганов.</w:t>
      </w:r>
      <w:r>
        <w:br/>
      </w:r>
      <w:r>
        <w:t xml:space="preserve">
В ходе своего выступления Андрей Цыганов отметил, что создание экспертного совета – это знаковое событие для российского химического сообщества в целом, особенно в свете происходящих глобализационных изменений в экономике, таких как присоединение России к ВТО и создание Единого экономического пространства России, Белоруссии и Казахстана. </w:t>
      </w:r>
      <w:r>
        <w:br/>
      </w:r>
      <w:r>
        <w:t xml:space="preserve">
Основными темами, рассмотренными на экспертном совете стали: развитие российской химической промышленности в условиях глобализации экономики и первоочередные меры по развитию конкуренции на внутреннем рынке на среднесрочную перспективу. </w:t>
      </w:r>
      <w:r>
        <w:br/>
      </w:r>
      <w:r>
        <w:t xml:space="preserve">
В ходе заседания выступили: Анна Мирочиненко (начальник управления ФАС России) с докладом: «Отечественная химическая промышленность в контексте вступления Российской Федерации в ВТО и формирования Таможенного союза и Единого экономического пространства»;  Виктор Иванов (Президент Российского союза химиков) с докладом: «Развитие рынка в условиях ВТО»; Алексей Кудрявцев (коммерческий директор ОАО «Пластополимер») с докладом о государственной поддержке развития химических рынков в условиях глобализации экономики и вступления России в ВТО; Михаил Рыбников (Генеральный директор ОАО «ФосАгро АГ») с докладом о развитии химических рыков в свете глобализации экономики; Ирина Кузнецова (начальник отдела ФАС России, ответственный секретарь Экспертного совета) с докладом: «Инициативы ФАС России по развитию конкуренции на среднесрочную перспективу, в том числе, на рынке химической продукции»; Андрей Злакотин (первый заместитель директора по правовому обеспечению ООО ОХК «Щекиноазот» (АО «Росагрохим») с докладом о первоочередные меры по развитию конкуренции на химических рынках; Владимир Мишеловин (начальник управления ФАС России) с докладом о разработке дорожных карт по конкуренции; Сергей Максимов (заместитель начальника Управления ФАС России) с докладом: «Законодательные инициативы в сфере антимонопольного регулирования».</w:t>
      </w:r>
      <w:r>
        <w:br/>
      </w:r>
      <w:r>
        <w:t xml:space="preserve">
По итогам заседания члены Экспертного совета приняли ряд решений, в том числе о необходимости формирования рабочих групп по отдельным секторам химической промышленности в целях оптимизации работы экспертного совета и эффективности проработки  отдельных вопросов, формировании плана работы Экспертного совета на 2013 год и подготовки предложений по развитию конкуренции на среднесрочную перспективу.</w:t>
      </w:r>
      <w:r>
        <w:br/>
      </w:r>
      <w:r>
        <w:t xml:space="preserve">
В заседании Экспертного совета приняли участие представители ФАС России, Минэкономразвития России, Минэнерго России, Российский Союз химиков, Ассоциация «РусХлор», Некоммерческое партнерство «Содействия развитию конкуренции», НИИЦ «Синтез», Ассоциация «Центрлак», ЗАО «СИБУР Холдинг», ОАО «Минудобрения», ОАО «Пластполимер», ОАО «НК «Роснефть», ОАО «Саянскхимпласт», ООО «СИБУР», ОАО «ЛУКОЙЛ», ЗАО «ФосАгро», ОАО «ГалоПолимер», ООО «ТД «Уралхим», ЗАО «Ренова Оргсинтез», ОАО «Росагрохим», ОАО «ГАЗПРОМ», ОАО «Уралкалий», ООО «Пирелли Тайр Руссия», ООО «Эвоник Химия», ОАО «Казаньоргсинтез».</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