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ФКУ «Управление автомобильной магистрали Москва-Бобруйск Федерального дорожного агентства» выдано предписание об устранении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2012,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ФКУ «Управление автомобильной магистрали Москва-Бобруйск Федерального дорожного агентства» на капитальный ремонт автомобильной дороги А-130 Москва –Малоярославец – Рославль - граница с Республикой Белоруссия.</w:t>
      </w:r>
      <w:r>
        <w:br/>
      </w:r>
      <w:r>
        <w:t xml:space="preserve">
По мнению ООО «Спецстроймонолит-1» права были нарушены действиями заказчика, который неправомерно признал вторую часть заявки заявителя на участие в аукционе не соответствующий требованиям документации об аукционе, которые были утверждены с нарушением требований законодательства Российской Федерации.</w:t>
      </w:r>
      <w:r>
        <w:br/>
      </w:r>
      <w:r>
        <w:t xml:space="preserve">
В результате рассмотрения жалобы Комиссия ФАС России признала жалобу заявителя обоснованной в части неправомерного принятия аукционной комиссией заказчика решения о признании второй части заявки несоответствующей требованиям документации,  выдала предписание о пересмотре вторых частей заявок, не допущенных к участию.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