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проверяет реализацию нефтепродуктов на биржевых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2012,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поступила информация о снижении объема реализации вертикально-интегрированными нефтяными компаниями (ВИНК) нефтепродуктов на биржевых торгах, что не позволяет обеспечить необходимый для формирования объективной рыночной цены уровень ликвидности. </w:t>
      </w:r>
      <w:r>
        <w:br/>
      </w:r>
      <w:r>
        <w:t xml:space="preserve">
Кроме того, в ФАС России имеется информация о том, что на биржевых торгах реализуются значительные объемы нефтепродуктов лицам, входящим в группу ВИНК, и цена таких сделок ниже ценовых предложений независимых покупателей. </w:t>
      </w:r>
      <w:r>
        <w:br/>
      </w:r>
      <w:r>
        <w:t xml:space="preserve">
Реализация на биржевых торгах крупных партий нефтепродуктов разовыми сделками не позволяет удовлетворить спрос независимых участников. Такая ситуация, по мнению ФАС России, приводит к формированию ажиотажного спроса на нефтепродукты и стремительному повышению цен на биржевых торгах. </w:t>
      </w:r>
      <w:r>
        <w:br/>
      </w:r>
      <w:r>
        <w:t xml:space="preserve">
В связи с этим, в настоящее время ФАС России проводит проверку по этим фактам.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2011 году ФАС России провела проверки трех товарных бирж - ЗАО «СПбМТСБ», ОАО «ММТБ» (прежнее наименование - НП «МБНК») и ЗАО «Биржа «Санкт-Петербург». По результатам проверок было установлено, что ВИНКи реализуют нефтепродукты на товарных биржах нерегулярно с неравномерным распределением объема по торговым сессиям в течение месяца, заключают «секундные» и адресные сделки большим объемом, которые не позволяют получить рыночных котировок по нефтепродуктам. </w:t>
      </w:r>
      <w:r>
        <w:br/>
      </w:r>
      <w:r>
        <w:t xml:space="preserve">
Результаты проверок были использованы ФАС России при рассмотрении «третьей» волны дел в отношении ВИНК, а также позволили разработать основные принципы формирования справедливых цен на биржевых торгах при продаже своей продукции доминирующими хозяйствующими субъектами и внести соответствующие изменения и дополнения в статью 6 Федерального закона «О защите конкуренции».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