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Зарегистрирован новый административный регламент ФАС России о порядке рассмотрения жалоб участников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2012, 10:16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августа 2012 года Министерство Юстиции РФ зарегистрировало новый административный регламент о порядке рассмотрения жалоб Федеральной антимонопольной службой (ФАС России). Документ регулирует порядок рассмотрения жалоб участников размещения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предыдущий регламент вступил в силу в 2007 году. За время его действия в законодательстве о размещении заказов произошли существенные изменения: введен общероссийский портал, электронные аукционы, уточнен порядок защиты предпринимателями своих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Значительная динамика 94-ФЗ и правоприменительной практики нашла отражение в новом административном регламенте, который был приведен в соответствие с действующим законодательством. Новый регламент уточняет вопрос правоспособности заявителя при подаче жалобы, оптимизирует порядок взаимодействия между ФАС России и ее территориальными органами при определении подведомственности рассмотрения жалоб, содержит регламентацию вопросов контроля при размещении торгов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 работе над новым регламентом, при такой динамике законодательства за последние годы, мы были приятно удивлены качеством старого регламента, поскольку основные его положения не подверглись существенной корректировке и остаются актуальными даже спустя 5 лет»,—сообщил начальник управления ФАС России по контролю за государственным заказом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Административный регламент вступит в силу с момента его официального опубликования, о чем ФАС России сообщит дополнительно.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Справка о результатах деятельности органов ФАС России при осуществлении контроля за соблюдением законодательства Российской Федерации о размещении заказов за I полугодие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Органами ФАС России рассмотрено 15 011 жалоб участников размещения заказа. Из них обоснованными признаны 39,4 % от общего количества рассмотренных жалоб.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1 полугодие 2012 года в суде обжаловалось 3% принятых ФАС России решений (предписаний). По результатам судебных разбирательств в силе были оставлены 80% обжалованных в суде решений (предписаний) (по центральному аппарату ФАС России данный показатель составил 92%).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