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Приоритетными темами обсуждения для антимонопольных органов стран-членов ЕЭП станут вопросы охраны товарных знаков и функционирования рынка нефти</w:t>
      </w:r>
    </w:p>
    <w:p xmlns:w="http://schemas.openxmlformats.org/wordprocessingml/2006/main" xmlns:pkg="http://schemas.microsoft.com/office/2006/xmlPackage" xmlns:str="http://exslt.org/strings" xmlns:fn="http://www.w3.org/2005/xpath-functions">
      <w:r>
        <w:t xml:space="preserve">02 августа 2012, 10:59</w:t>
      </w:r>
    </w:p>
    <w:p xmlns:w="http://schemas.openxmlformats.org/wordprocessingml/2006/main" xmlns:pkg="http://schemas.microsoft.com/office/2006/xmlPackage" xmlns:str="http://exslt.org/strings" xmlns:fn="http://www.w3.org/2005/xpath-functions">
      <w:pPr>
        <w:jc w:val="both"/>
      </w:pPr>
      <w:r>
        <w:t xml:space="preserve">31 июля 2012 года были подведены итоги работы круглого стола «Единая конкурентная политика – необходимое условие формирования и эффективного функционирования Единого экономического пространства», который состоялся в г. Караганда (Республика Казахстан) в период с 30 по 31 июля 2012 года.</w:t>
      </w:r>
      <w:r>
        <w:br/>
      </w:r>
      <w:r>
        <w:t xml:space="preserve">
Итоги подводили заместитель руководителя Федеральной антимонопольной службы (ФАС России) Анатолий Голомолзин, Председатель Агентства Республики Казахстан по защите конкуренции Габидулла Абдрахимов, заместитель директора Департамента ценовой политики Министерства экономики Республики Беларусь Иван Трепенок и Член коллегии (Министр) по конкуренции и антимонопольному регулированию Нурлан Алдабергенов.</w:t>
      </w:r>
      <w:r>
        <w:br/>
      </w:r>
      <w:r>
        <w:t xml:space="preserve">
Режим круглых столов в ходе обсуждения был определен как оптимальная форма взаимодействия в целях обсуждения актуальных вопросов, связанных с формированием Единого экономического пространства (ЕЭП).</w:t>
      </w:r>
      <w:r>
        <w:br/>
      </w:r>
      <w:r>
        <w:t xml:space="preserve">
В этом формате будут проходить дальнейшие обсуждения вопросов гармонизации законодательства, построения единых рынков и устранения недостатков в их работе. Принято решение проводить такого рода круглые столы регулярно с примерно месячной периодичностью.</w:t>
      </w:r>
      <w:r>
        <w:br/>
      </w:r>
      <w:r>
        <w:t xml:space="preserve">
Предметом обсуждения также станут общие проблемы совершенствования рыночных отношений на пространстве 3-х стран, а именно функционирования отраслевых товарных рынков. Будут учтены предложения биснес-сообществ, благодаря которым были высвечены проблемы на рынках алкоголя, авиаперевозок, электроэнергетики, телекоммуникаций и других рынках.</w:t>
      </w:r>
      <w:r>
        <w:br/>
      </w:r>
      <w:r>
        <w:t xml:space="preserve">
К числу приоритетных тем для обсуждения в ближайшей перспективе были отнесены вопросы охраны товарных знаков на территории ЕЭП (Республика Беларусь) и функционирования рынка нефти и нефтеобеспечения (Республика Казахстан).</w:t>
      </w:r>
      <w:r>
        <w:br/>
      </w:r>
      <w:r>
        <w:t xml:space="preserve">
Следующий круглый стол состоится в августе 2012 года в г. Новосибирске, в ходе которого будет подробно обсуждаться формат и механизмы взаимодействия и сотрудничества национальных антимонопольных органов, Евразийской экономической комиссии, деловых кругов и бизнес-сообщества стран-членов ЕЭП.</w:t>
      </w:r>
      <w:r>
        <w:br/>
      </w:r>
      <w:r>
        <w:t xml:space="preserve">
В своем итоговом выступлении А. Голомолзин отметил: «Предприниматели и потребители будут понимать, каким образом будут взаимодействовать уполномоченные антимонопольные органы на национальном и наднациональном уровне. Сейчас идёт работа по процедурам распределения их компетенции, прав и обязанностей. При этом независимо от того, куда обратится заявитель, его обращение будет передано в уполномоченный орган, и решение будет принято в соответствии с требованиями соглашений, формирующих договорно-правовую базу ЕЭП, и национальным законодательством».</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