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обнаружила признаки нарушения конкуренции в закупках интерактивного и цифрового учебного оборудования</w:t>
      </w:r>
    </w:p>
    <w:p xmlns:w="http://schemas.openxmlformats.org/wordprocessingml/2006/main" xmlns:pkg="http://schemas.microsoft.com/office/2006/xmlPackage" xmlns:str="http://exslt.org/strings" xmlns:fn="http://www.w3.org/2005/xpath-functions">
      <w:r>
        <w:t xml:space="preserve">20 апреля 2012, 10:36</w:t>
      </w:r>
    </w:p>
    <w:p xmlns:w="http://schemas.openxmlformats.org/wordprocessingml/2006/main" xmlns:pkg="http://schemas.microsoft.com/office/2006/xmlPackage" xmlns:str="http://exslt.org/strings" xmlns:fn="http://www.w3.org/2005/xpath-functions">
      <w:r>
        <w:t xml:space="preserve">Федеральная антимонопольная служба (ФАС России) 19 апреля 2012 года возбудила дело в отношении 5 окружных управлений образования города Москвы.</w:t>
      </w:r>
      <w:r>
        <w:br/>
      </w:r>
      <w:r>
        <w:t xml:space="preserve">
Признаки нарушения усматриваются в объединении в документации аукционов в рамках одного лота поставки учебного оборудования, товаров, а также выполнения работ по монтажу, установке, настройке и обучению использованию поставляемого оборудования и товаров. </w:t>
      </w:r>
      <w:r>
        <w:br/>
      </w:r>
      <w:r>
        <w:t xml:space="preserve">
В спецификации товаров, являвшихся предметом поставки аукционов, были объединены товары, относящихся к различным товарным группам Общероссийского классификатора продукции по видам экономической деятельности ОК 034-2007 (КПЕС 2002), а также товары (микроскоп DigitalBlue QX3, датчики Fourier Systems, интерактивная приставка Virtual Ink Mimio), права на распространение которых на территории Российской Федерации предположительно принадлежат единственному хозяйствующему субъекту - «Институт новых технологий». В результате, победителем значительного числа этих аукционов становилась одна компания - ООО «Рене».</w:t>
      </w:r>
      <w:r>
        <w:br/>
      </w:r>
      <w:r>
        <w:t xml:space="preserve">
В настоящее время ФАС России также изучает на предмет соответствия закону "О защите конкуренции" аналогичные аукционы, проведенные Департаментом образования города Москвы, Департаментом строительства города Москвы и Департаментом Смоленской области по образованию и науке.</w:t>
      </w:r>
      <w:r>
        <w:br/>
      </w:r>
      <w:r>
        <w:t xml:space="preserve">
По мнению ФАС России, проведение открытых аукционов в электронной форме с подобными условиями и требованиями, сформулированными в аукционной документации, может являться нарушением части 2 статьи 17 закона «О защите конкуренции».</w:t>
      </w:r>
    </w:p>
    <w:p xmlns:w="http://schemas.openxmlformats.org/wordprocessingml/2006/main" xmlns:pkg="http://schemas.microsoft.com/office/2006/xmlPackage" xmlns:str="http://exslt.org/strings" xmlns:fn="http://www.w3.org/2005/xpath-functions">
      <w:r>
        <w:t xml:space="preserve">Справка:</w:t>
      </w:r>
    </w:p>
    <w:p xmlns:w="http://schemas.openxmlformats.org/wordprocessingml/2006/main" xmlns:pkg="http://schemas.microsoft.com/office/2006/xmlPackage" xmlns:str="http://exslt.org/strings" xmlns:fn="http://www.w3.org/2005/xpath-functions">
      <w:r>
        <w:t xml:space="preserve">Частью 2 статьи 17 Федерального закона "О защите конкуренции" при проведении торгов, запроса котировок, если организаторами или заказчиками торгов, запроса котировок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на размещение заказов на поставки товаров, выполнение работ, оказание услуг для государственных или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