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поддерживает подписание Российского Кодекса практики рекламы и маркетинга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 года в Федеральной антимонопольной службе (ФАС России) представители более 20 индустриальных и общественных организаций подписали Российский Кодекс практики рекламы и маркетинговых коммуникаций.</w:t>
      </w:r>
      <w:r>
        <w:br/>
      </w:r>
      <w:r>
        <w:br/>
      </w:r>
      <w:r>
        <w:t xml:space="preserve">
Инициаторами подготовки Кодекса выступили Некоммерческое партнерство «Содружество производителей фирменных торговых марок «РусБренд» и Ассоциация коммуникационных агентств России (АКАР). </w:t>
      </w:r>
      <w:r>
        <w:br/>
      </w:r>
      <w:r>
        <w:br/>
      </w:r>
      <w:r>
        <w:t xml:space="preserve">
Итоговая версия Кодекса обсуждалась с экспертами ФАС России, которые, проанализировав документ, пришли к выводу, что Кодекс не противоречит действующему законодательству. </w:t>
      </w:r>
      <w:r>
        <w:br/>
      </w:r>
      <w:r>
        <w:br/>
      </w:r>
      <w:r>
        <w:t xml:space="preserve">
«Успешная реализация Кодекса позволит нам в обозримом будущем передать функции Экспертного совета по рекламе при ФАС России, касающиеся вопросов этики, тем ассоциациям, союзам, которые этот документ подписали», - прокомментировал  подписание Кодекса заместитель руководителя ФАС России Андрей Кашеваров.</w:t>
      </w:r>
      <w:r>
        <w:br/>
      </w:r>
      <w:r>
        <w:br/>
      </w:r>
      <w:r>
        <w:t xml:space="preserve">
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 Российского Кодекса был разработан группой экспертов НП «РусБренд» и АКАР в области маркетинга, рекламы и законодательства на основе положений Консолидированного Кодекса практики рекламы и маркетинговых коммуникаций Международной Торговой палаты от 2006г. (International Chamber of Commerce, Consolidated IСС Code of Advertising and Marketing Communication Practice dated June,1, 2006), а также российской версии документа, подготовленной индустриальной рабочей группой под эгидой International Chamber of Commerce (ICC) в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 Кодекса - формирование высоких этических стандартов рекламной деятельности и их соблюдение всеми участниками рекламного процесса.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Кодекс дополняет положения действующего законодательства. В частности, уточняются требования к содержанию маркетинговой коммуникации. Отмечается, что она не должна содержать информацию, которая прямо или косвенно, путем двусмысленности или преувеличения, может ввести потребителя в заблуждение. По мнению разработчиков, маркетинговая коммуникация не должна злоупотреблять доверием потребителя и/или использовать недостаток у него опыта и знаний. Вводятся дополнительные требования к использованию научных, технических и иных данных и терминологии. Сравниваемые характеристики товаров для представления в маркетинговой коммуникации должны отбираться добросовестно и быть сопоставимыми. Дополнены требования к проведению стимулирующих мероприятий, введены требования к осуществлению маркетинговой коммуникации с использованием интерактивных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Кодексом можно ознакомиться на сайтах АКАР и "РусБренд".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