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Делегация ФАС России приняла участие в заседаниях Глобального форума по конкуренции ОЭСР</w:t>
      </w:r>
    </w:p>
    <w:p xmlns:w="http://schemas.openxmlformats.org/wordprocessingml/2006/main" xmlns:pkg="http://schemas.microsoft.com/office/2006/xmlPackage" xmlns:str="http://exslt.org/strings" xmlns:fn="http://www.w3.org/2005/xpath-functions">
      <w:r>
        <w:t xml:space="preserve">20 февраля 2012, 16:10</w:t>
      </w:r>
    </w:p>
    <w:p xmlns:w="http://schemas.openxmlformats.org/wordprocessingml/2006/main" xmlns:pkg="http://schemas.microsoft.com/office/2006/xmlPackage" xmlns:str="http://exslt.org/strings" xmlns:fn="http://www.w3.org/2005/xpath-functions">
      <w:r>
        <w:t xml:space="preserve">В период с 13 по 17 февраля 2012 года делегация Федеральной антимонопольной службы (ФАС России) во главе с заместителем руководителя ФАС России Андреем Цыгановым приняла участие в заседаниях Комитета по конкуренции Организации экономического сотрудничества и развития (ОЭСР) и Глобального Форума по конкуренции ОЭСР, которые прошли в Париже.</w:t>
      </w:r>
    </w:p>
    <w:p xmlns:w="http://schemas.openxmlformats.org/wordprocessingml/2006/main" xmlns:pkg="http://schemas.microsoft.com/office/2006/xmlPackage" xmlns:str="http://exslt.org/strings" xmlns:fn="http://www.w3.org/2005/xpath-functions">
      <w:r>
        <w:t xml:space="preserve">ФАС России представила сразу несколько докладов, в частности были представлены доклады на тему "Разглашение информации с антиконкурентными эффектами", "Цифровая экономика и конкуренция", "Конкуренция и волатильность цен на товарных рынках", а также "Совершенствование международного сотрудничества при расследовании картелей". Все эти темы представляют несомненный интерес для российского антимонопольного органа, а результаты их обсуждения свидетельствуют о том, что Россия совершенствует антимонопольное законодательство и развивает практику его применения в соответствии с лучшими мировыми практиками.</w:t>
      </w:r>
    </w:p>
    <w:p xmlns:w="http://schemas.openxmlformats.org/wordprocessingml/2006/main" xmlns:pkg="http://schemas.microsoft.com/office/2006/xmlPackage" xmlns:str="http://exslt.org/strings" xmlns:fn="http://www.w3.org/2005/xpath-functions">
      <w:r>
        <w:t xml:space="preserve">Как отметил Андрей Цыганов в ходе Пленарного заседания Глобального Форума по конкуренции ОЭСР на тему "Конкуренция и волатильность цен на товарных рынках: "ФАС России уделяет особое внимание контролю за обеспечением соблюдения антимонопольного законодательства на инфрастуктурных и структурообразующих рынках, нарушения на которых оказывает повышательное ценовое давление на товары первой необходимости. Столь пристальное внимание к этим рынкам предопределяется прежде всего, проводимой Правительством Российской Федерации государственной политикой, по поддержке уровня жизни и росту реальных доходов населения Российской Федерации".</w:t>
      </w:r>
    </w:p>
    <w:p xmlns:w="http://schemas.openxmlformats.org/wordprocessingml/2006/main" xmlns:pkg="http://schemas.microsoft.com/office/2006/xmlPackage" xmlns:str="http://exslt.org/strings" xmlns:fn="http://www.w3.org/2005/xpath-functions">
      <w:r>
        <w:t xml:space="preserve">Необходимо отметить, что особое место в программе Глобального форума по конкуренции было уделено вопросам совершенствования международного сотрудничества при расследовании картелей, и в частности обмену конфиденциальной информацией. Ограничения по обмену конфиденциальной информацией являются проблемой для многих юрисдикций, с этой проблемой сталкиваются не только "молодые" конкурентные ведомства, но и антимонопольные органы стран ЕС, США, Японии.</w:t>
      </w:r>
    </w:p>
    <w:p xmlns:w="http://schemas.openxmlformats.org/wordprocessingml/2006/main" xmlns:pkg="http://schemas.microsoft.com/office/2006/xmlPackage" xmlns:str="http://exslt.org/strings" xmlns:fn="http://www.w3.org/2005/xpath-functions">
      <w:r>
        <w:t xml:space="preserve">В ходе заседания Андрей Цыганов рассказал участникам Глобального Форума ОЭСР о том, как осуществляется региональное сотрудничество между государствами-участниками СНГ, а также о дальнейших путях совершенствования методов борьбы с картелями в рамках МСАП и Единого экономического пространства.</w:t>
      </w:r>
    </w:p>
    <w:p xmlns:w="http://schemas.openxmlformats.org/wordprocessingml/2006/main" xmlns:pkg="http://schemas.microsoft.com/office/2006/xmlPackage" xmlns:str="http://exslt.org/strings" xmlns:fn="http://www.w3.org/2005/xpath-functions">
      <w:r>
        <w:t xml:space="preserve">Андрей Цыганов особо подчеркнул, что на настоящий момент уже существуют необходимые правовые нормы и практические инструменты по взаимодействию с зарубежными конкурентными ведомствами, дальнейшее совершенствование которых позволит осуществлять обмен конфиденциальной информацией, при рассмотрении наиболее опасных нарушений антимонопольного законодательства, носящих ограничительный характер.</w:t>
      </w:r>
    </w:p>
    <w:p xmlns:w="http://schemas.openxmlformats.org/wordprocessingml/2006/main" xmlns:pkg="http://schemas.microsoft.com/office/2006/xmlPackage" xmlns:str="http://exslt.org/strings" xmlns:fn="http://www.w3.org/2005/xpath-functions">
      <w:r>
        <w:t xml:space="preserve">В целом участие ФАС России в таких мероприятиях помогает поднимать авторитет Российской Федерации среди мировых конкурентных ведомств, а также развивать отношения с ведущими экспертами в области конкурентной политики.</w:t>
      </w:r>
    </w:p>
    <w:p xmlns:w="http://schemas.openxmlformats.org/wordprocessingml/2006/main" xmlns:pkg="http://schemas.microsoft.com/office/2006/xmlPackage" xmlns:str="http://exslt.org/strings" xmlns:fn="http://www.w3.org/2005/xpath-functions">
      <w:r>
        <w:t xml:space="preserve">Справка</w:t>
      </w:r>
    </w:p>
    <w:p xmlns:w="http://schemas.openxmlformats.org/wordprocessingml/2006/main" xmlns:pkg="http://schemas.microsoft.com/office/2006/xmlPackage" xmlns:str="http://exslt.org/strings" xmlns:fn="http://www.w3.org/2005/xpath-functions">
      <w:r>
        <w:rPr>
          <w:b/>
        </w:rPr>
        <w:t xml:space="preserve">Глобальный форум по конкуренции ОЭСР</w:t>
      </w:r>
    </w:p>
    <w:p xmlns:w="http://schemas.openxmlformats.org/wordprocessingml/2006/main" xmlns:pkg="http://schemas.microsoft.com/office/2006/xmlPackage" xmlns:str="http://exslt.org/strings" xmlns:fn="http://www.w3.org/2005/xpath-functions">
      <w:r>
        <w:t xml:space="preserve">Глобальный форум по конкуренции ОЭСР служит площадкой для обсуждения широкого круга вопросов в области конкуренции. Формат Форума предусматривает участие в его работе первых лиц конкурентных ведомств со всего мира. </w:t>
      </w:r>
      <w:r>
        <w:br/>
      </w:r>
      <w:r>
        <w:t xml:space="preserve">
В 2012 году в Глобальном форуме приняли участие 108 делегаций конкурентных ведомств и международных организаций.</w:t>
      </w:r>
      <w:r>
        <w:br/>
      </w:r>
      <w:r>
        <w:t xml:space="preserve">
Глобальный форум дает возможность государствам-членам ОЭСР и странам, не являющимся членами ОЭСР, вести стратегический диалог по широкому кругу вопросов конкурентной политики. Результатом работы Форума является разработка и добровольное применение многими странами лучших практик, существенное сближение аналитических подходов, наращивание аналитического потенциала конкурентных органов, а также усиление сотрудничества между конкурентными ведомствами при рассмотрении сделок о слиянии, расследовании картелей и т.п. </w:t>
      </w:r>
      <w:r>
        <w:br/>
      </w:r>
      <w:r>
        <w:t xml:space="preserve">
Несмотря на то, что основное внимание на Форуме уделяется конкуренции, Форум обеспечивает также более широкий диалог, который охватывает взаимосвязь между конкурентной политикой, правоприменением и другими аспектами экономической политики.</w:t>
      </w:r>
    </w:p>
    <w:p xmlns:w="http://schemas.openxmlformats.org/wordprocessingml/2006/main" xmlns:pkg="http://schemas.microsoft.com/office/2006/xmlPackage" xmlns:str="http://exslt.org/strings" xmlns:fn="http://www.w3.org/2005/xpath-functions">
      <w:r>
        <w:rPr>
          <w:b/>
        </w:rPr>
        <w:t xml:space="preserve">Кто принимает участие в заседаниях Глобального форума по конкуренции ОЭСР</w:t>
      </w:r>
      <w:r>
        <w:br/>
      </w:r>
      <w:r>
        <w:t xml:space="preserve">На постоянной основе в Форуме принимают участие следующие страны: Албания, Алжир, Аргентина, Австралия, Австрия, Азербайджан, Бельгия, Бахрейн, Босния и Герцеговина, Бразилия, Болгария, Камерун, Канада, Чили, Китай, Колумбия, Коста-Рика, Хорватия, Чешская Республика, Дания, Эквадор, Египет, Сальвадор, Эстония, Финляндия, Франция, Бывшая Югославская Республика Македония, Габон, Джорджия, Индонезия, Израиль, Кот-д'Ивуар, Германия, Греция, Венгрия, Исландия, Индия, Ирландия, Италия, Ямайка, Япония, Иордания, Казахстан, Кения, Корея, Латвия, Ливан, Литва, Люксембург, Малайзия, Мальта, Мексика, Монголия, Марокко, Нидерланды, Новая Зеландия, Нигерия, Норвегия, Пакистан, Панама, Папуа-Новая Гвинея, Перу, Филиппины, Польша, Португалия, Румыния, Российская Федерация, Сенегал, Сербия, Сингапур, Словацкая республика, Словения, Южная Африка, Испания, Швеция, Швейцария, Китайский Тайбэй, Танзания, Таиланд, Тунис, Турция, Украина, Соединенное Королевство, Соединенные Штаты, Узбекистан, Венесуэла, Вьетнам, Замбия, а также Комиссия Европейского Союза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