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Перми признал неправомерность требований Минтранса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2012, 12:31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Арбитражный суд подтвердил, что Пермское УФАС России правомерно аннулировало конкурс на разработку документации для проведения торгов на право заключения соглашения в целях реализации проекта, осуществляемого в рамках государственно-частного партнерства «Строительство автомобильной дороги «Восточный обход города Перми. II очередь строительства».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транспорта Пермского края, проводя конкурс, разбило его на три лота: оказание правовых, финансовых и технических услуг с ценой контракта 29 559 576, 29 229 176 и 14 581 248 рублей соответственно. Общая сумма лотов превысила 73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Конкурсная документация, которую разработал Минтранс, содержала квалификационные требования, в соответствии с которыми участник торгов должен был предоставить документы, подтверждающие опыт работы в области государственно-частного партнерства, либо концессии сроком свыше 10 лет. При этом закон о концессионных соглашениях действует менее 10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 участникам конкурса было предъявлено требование руководствоваться при разрешении поставленных задач Законом Пермского края «О государственно-частном партнерстве». Но закон о ГЧП в Пермском крае отсутствовал в момент объявления торгов, и не существовал даже в проекте, так как был отклонен краевым Законодательным Собранием», - отметил заместитель руководителя Пермского УФАС России Антон Удальев.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