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обозначил цели ФАС России на 2012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2012,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основных целей деятельности службы на 2012г глава Федеральной антимонопольной службы (ФАС России) Игорь Артемьев назвал реализацию на практике норм т.н. «третьего антимонопольного пакета законов», который вступил в силу в январе 2012г.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Среди законодательных инициатив ФАС России И.Артемьев отметил необходимость разработки поправок в Кодекс об административных правонарушениях, устанавливающие ответственность организаторов торгов, членов аукционных и конкурсных комиссий, операторов электронных площадок за нарушение процедуры торгов и правил заключения договоров, предусмотренных в ст 18.1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планирует обратиться в Высший Арбитражный суд с предложением подготовить изменения в Постановление Пленума Высшего арбитражного суда РФ №30 в части применения судами ст 15 закона «О защите конкуренции», а также по применению КоАП в части определения размера выручки в целях наложения оборотного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этом году мы планируем завершить разработку нормативных правовых актов, направленных на реализацию закона «О закупках товаров, работ, услуг отдельными видами юридических лиц», - рассказал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2012г ФАС России также планирует разработать и внести в Правительство РФ законопроекты, направленные на ужесточение ответственности за нарушение в рекламе биологически активных добавок, а также направленные на установление антимонопольных требований в сфере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задач ФАС России на 2012 год - подготовить предложения по внесению изменений в законодательство РФ в связи с принятием ФЗ «Об основах охраны здоровья граждан в РФ», а также участие в разработке подзаконных актов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намерены внести в Правительство РФ законопроект «О погребении и похоронном деле», направленный на развитие конкуренции на рынке похоронных услуг», - заявил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глава ФАС России отметил необходимость принятия постановлений Правительства РФ «Об обеспечении недискриминационного доступа к магистральным газопроводам в РФ», «Об обеспечении недискриминационного доступа к газораспределительным сетям в РФ», «О реализации газа на электронных торговых площадках в товарных биржах и внесении изменений в некоторые акты Правительства РФ по вопросам государственного регулирования цен на газ и доступа к газотранспортной системе ОАО «Газпром».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«Среди задач на этот год- обеспечение взаимодействия с Евразийской экономической комиссией. Мы должны принять участие в разработке нормативных актов для реализации соглашений, формирующих правовую базу Единого экономического пространства в рамках ЕврАзЭС», - сказал И.Артемьев.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