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Магаданское УФАС России пресекло завышение тарифов на перевозку контейнеров морским транспортом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2011, 11:07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«ФЕСКО Лайнз Владивосток» (ООО «ФЛВ») и ОАО «Сахалинское морское пароходство» незаконно синхронно устанавливали в 2010 году одинаковые тарифы на перевозку контейнеров морским транспортом по маршруту Владивосток – Магадан – Владивосток и поддерживали одинаковую ценовую политику в течение определенного времени. При этом объективных причин для изменения тарифов на одинаковую величину не было.</w:t>
      </w:r>
      <w:r>
        <w:br/>
      </w:r>
      <w:r>
        <w:t xml:space="preserve">
Магаданское управление Федеральной антимонопольной службы (Мага-данское УФАС России) усмотрело 15 ноября 2011 года в таких действиях ООО «ФЛВ» и ОАО «Сахалинское морское пароходство» нарушение антимонопольного законодательства (часть 1 статьи 11 Федерального закона «О защите конкуренции»).</w:t>
      </w:r>
      <w:r>
        <w:br/>
      </w:r>
      <w:r>
        <w:t xml:space="preserve">
Антимонопольная служба выдала группе лиц в составе ОАО «Дальнево-сточное морское пароходство», ООО «ФЛВ», ООО «ФЕСКО интегрированный транспорт» и ОАО «Сахалинское морское пароходство» предписание об обеспечении конкуренции на соответствующих товарных рынках. Компании должны будут формировать тарифы на перевозку грузов в контейнерах морским путем, исходя из индивидуальных особенностей финансово-хозяйственной деятельности предприятий, с учетом необходимых затрат и прибыли. Также в срок до 15.12.2011 ООО ОАО «Дальневосточное морское пароходство», ООО «ФЛВ», ООО «ФЕСКО интегрированный транспорт» и ОАО «Сахалинское морское пароходство» должны рассчитать тарифы на перевозку грузов в контейнерах на 2012г. по маршруту Владивосток – Магадан – Владивосток на основе необходимых затрат и прибыли и представить данные в Магаданское УФАС России. Одновременно компании должны будут в течение 2012 года при принятии решения об изменении тарифов не позднее, чем через 5 дней со дня принятия решения представлять в Магаданское УФАС копию соответствующего внутреннего акта и экономическое обоснование тарифа.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