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«Русский продукт» незаконно приобрела и использовала словесный товарный знак «Летний»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2011, 16:27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10 ноября 2011 года признала действия компании «Русский продукт» (ОАО)  нарушившими часть 2 статьи 14 Закона о защите конкуренции.</w:t>
      </w:r>
      <w:r>
        <w:br/>
      </w:r>
      <w:r>
        <w:br/>
      </w:r>
      <w:r>
        <w:t xml:space="preserve">
Нарушение антимонопольного законодательства выразилось в недобросовестной конкуренции, связанной с приобретением и использованием словесного товарного знака «ЛЕТНИЙ» по свидетельству №287331.</w:t>
      </w:r>
      <w:r>
        <w:br/>
      </w:r>
      <w:r>
        <w:br/>
      </w:r>
      <w:r>
        <w:t xml:space="preserve">
Комиссия ФАС России установила, что обозначение «ЛЕТНИЙ» в качестве наименования кофейных напитков начало использоваться в период существования Советского Союза несколькими независимыми производителями, в том числе Московским и Ленинградским пищевыми комбинатами. Компания «Русский продукт» (ОАО) является правопреемником Московского пищевого комбината, а компания  «Комбинат детского питания и пищевых концентратов» (ОАО) - Ленинградского пищевого комбината.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Вместе с тем, компания «Русский продукт» (ОАО) приобрела исключительные права на товарный знак «ЛЕТНИЙ» и направила в адрес Комбината детского питания и пищевых концентратов письма-претензии с требованием прекратить незаконное использование обозначения «ЛЕТНИЙ» для маркировки продукции – кофейные напитки, изъять из реализации и уничтожить упаковку этой продукции.</w:t>
      </w:r>
      <w:r>
        <w:br/>
      </w:r>
      <w:r>
        <w:t xml:space="preserve">
Также компания «Русский продукт» (ОАО) подала заявление в ФАС России, на основании которого антимонопольный орган возбудил дело в отношении «Комбината детского питания и пищевых концентратов» по признакам нарушения пункта 4 части 1 статьи 14 Закона о защите конкуренции, которое впоследствии ведомство приостановило.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Согласно части 2 статьи 14 Закона о защите конкуренции не допускается недобросовестная конкуренция, выраженная в приобретении и использовании исключительного права на средства индивидуализации юридического лица, средства индивидуализации продукции,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