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 внесении изменений в законодательство о контроле иностранных инвестиций в стратегические предприятия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2011, 16:24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2011 года Президент Российской Федерации Дмитрий Медведев подписал закон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предусматривающий меры по либерализации контроля иностранных инвестиций в стратегические отрасли экономики Российской Федерации. Ранее поправки приняли Госдума и Совет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в том числе, предусматривают: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сферы контроля сделок между организациями находящимися под контролем российских собственников, а также сделок с участием международных финансовых организаций, перечень которых утверждается Правительством Российской Федерации;</w:t>
      </w:r>
      <w:r>
        <w:br/>
      </w:r>
      <w:r>
        <w:t xml:space="preserve">
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  <w:r>
        <w:br/>
      </w:r>
      <w:r>
        <w:t xml:space="preserve">
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указанная деятельность не является основной, и деятельности банков (без участия Российской Федерации) в области шифрования информации.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