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принимает участие в мероприятиях Комитета по конкуренции Организации экономического сотрудничества и развития (ОЭСР)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2011, 11:14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27-30 июня 2011 года в г. Париже (Франция) проходят заседания Комитета по конкуренции Организации Экономического сотрудничества и развития (ОЭСР), в которых принимает активное участие делегация ФАС России во главе с заместителем руководителя ФАС России А.Г.Цыгановым. </w:t>
      </w:r>
      <w:r>
        <w:br/>
      </w:r>
      <w:r>
        <w:t xml:space="preserve">
На заседаниях представители международного конкурентного сообщества обсуждают различные вопросы конкурентной политики и законодательства, выступают с докладами по наиболее актуальным для мировой экономики темам. </w:t>
      </w:r>
      <w:r>
        <w:br/>
      </w:r>
      <w:r>
        <w:t xml:space="preserve">
27 июня 2011 года в рамках рабочей группы Комитета по конкуренции ОЭСР «Конкуренция и регулирование», российские эксперты представили доклад на тему «Конкуренция в портах», в котором говорилось о текущем состоянии конкуренции на рынке портовых услуг в Российской Федерации. Так, в целях создания равных условий и развития конкуренции в портовом секторе в России, ФАС России выступила с предложением к Правительству РФ о дерегулировании тарифов на погрузочно-разгрузочные работы в речных и морских 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этим, в настоящее время проводится эксперимент по временной отмене прямого ценового регулирования погрузки, разгрузки и хранения грузов в морском порту «Большой порт Санкт-Петербург», без его выведения из Реестра субъектов естественных монополий на транспорте.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Первые итоги дерегулирования будут подведены ФСТ России в июле 2011 года, и, в случае успешности организованного проекта будет возможна полная отмена государственного регулирования тарифов компаний, оказывающих услуги по погрузке, выгрузке и хранению грузов не только в Большом порту Санкт-Петербург, но и в других российских морских портах, за исключением тех, которые не имеют железнодорожной и автомобильной связи с центральными областями страны. </w:t>
      </w:r>
      <w:r>
        <w:br/>
      </w:r>
      <w:r>
        <w:t xml:space="preserve">
28 июня 2011 года ФАС России представила доклад на тему: «Структурные и поведенческие требования в сделках» (в рамках рабочей группы «Сотрудничество и правоприменение»). Члены российской делегации проинформировали зарубежных коллег об основных видах требований, налагаемых ФАС России при согласовании сделок (структурные и поведенческие требования), дали подробное описание видов поведенческих требований (именно такие виды требований преимущественно выдаются российским антимонопольным органом), привели показательные примеры сделок с наложенными требованиями.</w:t>
      </w:r>
      <w:r>
        <w:br/>
      </w:r>
      <w:r>
        <w:t xml:space="preserve">
29 июня 2011 года российская делегация выступила с сообщением на заседании Комитета по конкуренции ОЭСР на тему: «Содействие соблюдению конкурентного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Конкурентное ведомство может содействовать большему и лучшему соблюдению конкурентного законодательства посредством различных инструментов. В частности, с помощью: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адвокатирования конкуренции (разъяснение антимонопольным органом целей и задач конкурентной политики), </w:t>
      </w:r>
      <w:r>
        <w:br/>
      </w:r>
      <w:r>
        <w:t xml:space="preserve">
- совершенствования российского антимонопольного законодательства в целях повышения эффективности его применения («третий антимонопольный пакет поправок», принятый Правительством РФ и направленный на рассмотрение Государственной Думы РФ), </w:t>
      </w:r>
      <w:r>
        <w:br/>
      </w:r>
      <w:r>
        <w:t xml:space="preserve">
- привлечения к административной ответственности, в том числе с наложением оборотных штрафов, </w:t>
      </w:r>
      <w:r>
        <w:br/>
      </w:r>
      <w:r>
        <w:t xml:space="preserve">
- выдачи предписаний о перечислении в федеральный бюджет дохода, полученного вследствие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Доклады и выступления российской делегации вызвали интерес и оживленные дискуссии.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ФАС России в деятельности такой крупной международной организации как ОЭСР, способствует обеспечению транспарентности деятельности российского антимонопольного органа и ускорению процесса вступления  Российской Федерации в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