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Материалы оценок востребованности наборов открытых данных, потенциальных для раскрытия</w:t>
      </w:r>
    </w:p>
    <w:p/>
    <w:p>
      <w:r>
        <w:rPr>
          <w:sz w:val="22"/>
          <w:szCs w:val="22"/>
        </w:rPr>
        <w:t xml:space="preserve">ФАС России, учитывая статистку обращений со стороны СМИ, граждан и экспертов, выявила потенциальный набор данных для раскрытия - цены на нефтепродукты "Интерактивная карта цен на нефтепродукты". Запрос на размещение этого набора поступал и из администрации президента.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С проектом Плана-графика ФАС России по размещению данных в машиночитаемых форматах и иных действиях ведомства, связанных с оперированием открытыми данными в период 2014-2016 гг. можно ознакомиться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здесь</w:t>
        </w:r>
      </w:hyperlink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projectopendata.html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2016-04-21T00:23:47+03:00</dcterms:created>
  <dcterms:modified xsi:type="dcterms:W3CDTF">2016-04-21T00:23:47+03:00</dcterms:modified>
  <dc:title/>
  <dc:description/>
  <dc:subject/>
  <cp:keywords/>
  <cp:category/>
</cp:coreProperties>
</file>